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楷体" w:hAnsi="楷体" w:eastAsia="楷体"/>
          <w:sz w:val="52"/>
          <w:szCs w:val="52"/>
        </w:rPr>
      </w:pPr>
      <w:r>
        <w:rPr>
          <w:rFonts w:hint="eastAsia" w:ascii="楷体" w:hAnsi="楷体" w:eastAsia="楷体"/>
          <w:sz w:val="52"/>
          <w:szCs w:val="52"/>
        </w:rPr>
        <w:t>南阳农业职业学院</w:t>
      </w:r>
    </w:p>
    <w:p>
      <w:pPr>
        <w:spacing w:before="156" w:beforeLines="50" w:after="156" w:afterLines="50" w:line="360" w:lineRule="auto"/>
        <w:jc w:val="center"/>
        <w:rPr>
          <w:rFonts w:ascii="微软雅黑" w:hAnsi="Tahoma" w:eastAsia="微软雅黑"/>
          <w:kern w:val="0"/>
          <w:sz w:val="48"/>
          <w:szCs w:val="48"/>
        </w:rPr>
      </w:pPr>
      <w:r>
        <w:rPr>
          <w:rFonts w:hint="eastAsia" w:ascii="微软雅黑" w:hAnsi="Tahoma" w:eastAsia="微软雅黑"/>
          <w:kern w:val="0"/>
          <w:sz w:val="48"/>
          <w:szCs w:val="48"/>
        </w:rPr>
        <w:t>大数据与会计专业人才培养方案</w:t>
      </w:r>
    </w:p>
    <w:p>
      <w:pPr>
        <w:pStyle w:val="4"/>
        <w:jc w:val="center"/>
        <w:rPr>
          <w:rFonts w:ascii="微软雅黑"/>
          <w:sz w:val="36"/>
          <w:szCs w:val="36"/>
        </w:rPr>
      </w:pPr>
      <w:r>
        <w:rPr>
          <w:rFonts w:hint="eastAsia" w:ascii="微软雅黑" w:hAnsi="Tahoma" w:eastAsia="微软雅黑"/>
          <w:kern w:val="0"/>
          <w:sz w:val="36"/>
          <w:szCs w:val="36"/>
        </w:rPr>
        <w:t>（</w:t>
      </w:r>
      <w:r>
        <w:rPr>
          <w:rFonts w:hint="eastAsia" w:ascii="宋体" w:hAnsi="宋体" w:cs="宋体"/>
          <w:kern w:val="0"/>
          <w:sz w:val="36"/>
          <w:szCs w:val="36"/>
        </w:rPr>
        <w:t>函授2.5年制</w:t>
      </w:r>
      <w:r>
        <w:rPr>
          <w:rFonts w:hint="eastAsia" w:ascii="微软雅黑" w:hAnsi="Tahoma" w:eastAsia="微软雅黑"/>
          <w:kern w:val="0"/>
          <w:sz w:val="36"/>
          <w:szCs w:val="36"/>
        </w:rPr>
        <w:t>）</w:t>
      </w:r>
    </w:p>
    <w:p>
      <w:pPr>
        <w:pStyle w:val="4"/>
        <w:rPr>
          <w:rFonts w:ascii="微软雅黑"/>
          <w:sz w:val="20"/>
        </w:rPr>
      </w:pPr>
    </w:p>
    <w:p>
      <w:pPr>
        <w:pStyle w:val="4"/>
        <w:rPr>
          <w:rFonts w:ascii="微软雅黑"/>
          <w:sz w:val="20"/>
        </w:rPr>
      </w:pPr>
      <w:r>
        <w:rPr>
          <w:rFonts w:ascii="微软雅黑"/>
          <w:sz w:val="20"/>
        </w:rPr>
        <w:t xml:space="preserve">  </w:t>
      </w:r>
    </w:p>
    <w:p>
      <w:pPr>
        <w:pStyle w:val="4"/>
        <w:spacing w:before="9"/>
        <w:ind w:firstLine="1995" w:firstLineChars="950"/>
        <w:rPr>
          <w:rFonts w:ascii="微软雅黑"/>
          <w:color w:val="FF0000"/>
        </w:rPr>
      </w:pPr>
      <w:r>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2724150" cy="2724150"/>
            <wp:effectExtent l="0" t="0" r="0" b="0"/>
            <wp:wrapSquare wrapText="bothSides"/>
            <wp:docPr id="1" name="图片 1" descr="微信图片_201707211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721110150"/>
                    <pic:cNvPicPr>
                      <a:picLocks noChangeAspect="1"/>
                    </pic:cNvPicPr>
                  </pic:nvPicPr>
                  <pic:blipFill>
                    <a:blip r:embed="rId4"/>
                    <a:stretch>
                      <a:fillRect/>
                    </a:stretch>
                  </pic:blipFill>
                  <pic:spPr>
                    <a:xfrm>
                      <a:off x="0" y="0"/>
                      <a:ext cx="2724150" cy="2724150"/>
                    </a:xfrm>
                    <a:prstGeom prst="rect">
                      <a:avLst/>
                    </a:prstGeom>
                    <a:noFill/>
                    <a:ln>
                      <a:noFill/>
                    </a:ln>
                  </pic:spPr>
                </pic:pic>
              </a:graphicData>
            </a:graphic>
          </wp:anchor>
        </w:drawing>
      </w:r>
    </w:p>
    <w:p>
      <w:pPr>
        <w:pStyle w:val="4"/>
        <w:rPr>
          <w:rFonts w:ascii="微软雅黑"/>
          <w:sz w:val="20"/>
        </w:rPr>
      </w:pPr>
      <w:r>
        <w:rPr>
          <w:rFonts w:ascii="微软雅黑"/>
          <w:sz w:val="20"/>
        </w:rPr>
        <w:t xml:space="preserve">                                                                      </w:t>
      </w:r>
    </w:p>
    <w:p>
      <w:pPr>
        <w:pStyle w:val="4"/>
        <w:rPr>
          <w:rFonts w:ascii="微软雅黑"/>
          <w:sz w:val="20"/>
        </w:rPr>
      </w:pPr>
    </w:p>
    <w:p>
      <w:pPr>
        <w:pStyle w:val="4"/>
        <w:rPr>
          <w:rFonts w:ascii="微软雅黑"/>
          <w:sz w:val="20"/>
        </w:rPr>
      </w:pPr>
    </w:p>
    <w:p>
      <w:pPr>
        <w:pStyle w:val="4"/>
        <w:spacing w:before="16"/>
        <w:rPr>
          <w:rFonts w:ascii="微软雅黑"/>
          <w:sz w:val="25"/>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cs="宋体"/>
          <w:kern w:val="0"/>
          <w:sz w:val="44"/>
          <w:szCs w:val="22"/>
        </w:rPr>
      </w:pPr>
      <w:r>
        <w:rPr>
          <w:rFonts w:hint="eastAsia" w:ascii="宋体" w:hAnsi="宋体" w:cs="宋体"/>
          <w:kern w:val="0"/>
          <w:sz w:val="44"/>
          <w:szCs w:val="22"/>
        </w:rPr>
        <w:t>二〇二三年</w:t>
      </w:r>
      <w:r>
        <w:rPr>
          <w:rFonts w:hint="eastAsia" w:ascii="宋体" w:hAnsi="宋体" w:cs="宋体"/>
          <w:kern w:val="0"/>
          <w:sz w:val="44"/>
          <w:szCs w:val="22"/>
          <w:lang w:val="en-US" w:eastAsia="zh-CN"/>
        </w:rPr>
        <w:t>三</w:t>
      </w:r>
      <w:r>
        <w:rPr>
          <w:rFonts w:hint="eastAsia" w:ascii="宋体" w:hAnsi="宋体" w:cs="宋体"/>
          <w:kern w:val="0"/>
          <w:sz w:val="44"/>
          <w:szCs w:val="22"/>
        </w:rPr>
        <w:t>月</w:t>
      </w:r>
    </w:p>
    <w:p>
      <w:pPr>
        <w:spacing w:line="360" w:lineRule="auto"/>
        <w:jc w:val="center"/>
        <w:rPr>
          <w:rFonts w:hint="eastAsia" w:ascii="宋体" w:hAnsi="宋体" w:eastAsia="宋体" w:cs="宋体"/>
          <w:b/>
          <w:bCs/>
          <w:sz w:val="30"/>
          <w:szCs w:val="30"/>
        </w:rPr>
      </w:pPr>
      <w:r>
        <w:rPr>
          <w:b/>
          <w:sz w:val="36"/>
          <w:szCs w:val="36"/>
        </w:rPr>
        <w:br w:type="page"/>
      </w:r>
      <w:r>
        <w:rPr>
          <w:rFonts w:hint="eastAsia" w:ascii="宋体" w:hAnsi="宋体" w:eastAsia="宋体" w:cs="宋体"/>
          <w:b/>
          <w:bCs/>
          <w:sz w:val="30"/>
          <w:szCs w:val="30"/>
        </w:rPr>
        <w:t>大数据与会计专业人才培养方案</w:t>
      </w:r>
    </w:p>
    <w:p>
      <w:pPr>
        <w:spacing w:line="360" w:lineRule="auto"/>
        <w:rPr>
          <w:rFonts w:hint="default" w:ascii="宋体" w:hAnsi="宋体" w:eastAsia="宋体" w:cs="宋体"/>
          <w:b/>
          <w:bCs/>
          <w:sz w:val="28"/>
          <w:szCs w:val="28"/>
          <w:lang w:val="en-US" w:eastAsia="zh-CN"/>
        </w:rPr>
      </w:pPr>
      <w:r>
        <w:rPr>
          <w:rFonts w:hint="eastAsia" w:ascii="宋体" w:hAnsi="宋体" w:cs="宋体"/>
          <w:b/>
          <w:bCs/>
          <w:sz w:val="28"/>
          <w:szCs w:val="28"/>
        </w:rPr>
        <w:t>一、专业</w:t>
      </w:r>
      <w:r>
        <w:rPr>
          <w:rFonts w:hint="eastAsia" w:ascii="宋体" w:hAnsi="宋体" w:cs="宋体"/>
          <w:b/>
          <w:bCs/>
          <w:sz w:val="28"/>
          <w:szCs w:val="28"/>
          <w:lang w:val="en-US" w:eastAsia="zh-CN"/>
        </w:rPr>
        <w:t>基本信息</w:t>
      </w:r>
    </w:p>
    <w:p>
      <w:pPr>
        <w:spacing w:line="440" w:lineRule="exact"/>
        <w:ind w:firstLine="480"/>
        <w:rPr>
          <w:rFonts w:ascii="Times New Roman" w:hAnsi="Times New Roman"/>
          <w:sz w:val="24"/>
        </w:rPr>
      </w:pPr>
      <w:r>
        <w:rPr>
          <w:rFonts w:ascii="Times New Roman" w:hAnsi="Times New Roman"/>
          <w:sz w:val="24"/>
        </w:rPr>
        <w:t>专业代码：</w:t>
      </w:r>
      <w:r>
        <w:rPr>
          <w:rFonts w:hint="eastAsia" w:ascii="Times New Roman" w:hAnsi="Times New Roman"/>
          <w:sz w:val="24"/>
        </w:rPr>
        <w:t xml:space="preserve"> 530302</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 xml:space="preserve">专业名称： </w:t>
      </w:r>
      <w:r>
        <w:rPr>
          <w:rFonts w:hint="eastAsia" w:ascii="Times New Roman" w:hAnsi="Times New Roman"/>
          <w:sz w:val="24"/>
        </w:rPr>
        <w:t>大数据与会计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所属专业大类（专科）：</w:t>
      </w:r>
      <w:r>
        <w:rPr>
          <w:rFonts w:hint="eastAsia" w:ascii="Times New Roman" w:hAnsi="Times New Roman"/>
          <w:sz w:val="24"/>
        </w:rPr>
        <w:t>财经商贸大类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教育类型： </w:t>
      </w:r>
      <w:r>
        <w:rPr>
          <w:rFonts w:hint="eastAsia" w:ascii="Times New Roman" w:hAnsi="Times New Roman" w:eastAsia="宋体" w:cs="Times New Roman"/>
          <w:sz w:val="24"/>
        </w:rPr>
        <w:t>高等学历继续教育</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 xml:space="preserve">招生对象： </w:t>
      </w:r>
      <w:r>
        <w:rPr>
          <w:rFonts w:hint="eastAsia" w:ascii="Times New Roman" w:hAnsi="Times New Roman" w:eastAsia="宋体" w:cs="Times New Roman"/>
          <w:sz w:val="24"/>
        </w:rPr>
        <w:t>具有高中学历或同等学力的在职从业人员、社会青年。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层</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次：</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高起专</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学习形式：</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函授</w:t>
      </w:r>
    </w:p>
    <w:p>
      <w:pPr>
        <w:spacing w:line="360" w:lineRule="auto"/>
        <w:jc w:val="lef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cs="宋体"/>
          <w:b/>
          <w:bCs/>
          <w:sz w:val="28"/>
          <w:szCs w:val="28"/>
        </w:rPr>
        <w:t>、培养目标</w:t>
      </w:r>
      <w:r>
        <w:rPr>
          <w:rFonts w:hint="eastAsia" w:ascii="宋体" w:hAnsi="宋体" w:cs="宋体"/>
          <w:b/>
          <w:bCs/>
          <w:sz w:val="28"/>
          <w:szCs w:val="28"/>
          <w:lang w:val="en-US" w:eastAsia="zh-CN"/>
        </w:rPr>
        <w:t>及人才规格</w:t>
      </w:r>
    </w:p>
    <w:p>
      <w:pPr>
        <w:spacing w:line="360" w:lineRule="auto"/>
        <w:ind w:firstLine="480" w:firstLineChars="200"/>
        <w:jc w:val="left"/>
        <w:rPr>
          <w:rFonts w:hint="eastAsia" w:ascii="宋体" w:hAnsi="宋体" w:eastAsia="宋体" w:cs="宋体"/>
          <w:sz w:val="24"/>
        </w:rPr>
      </w:pPr>
      <w:r>
        <w:rPr>
          <w:rFonts w:hint="eastAsia" w:ascii="宋体" w:hAnsi="宋体" w:cs="宋体"/>
          <w:sz w:val="24"/>
        </w:rPr>
        <w:t>本专业面向中小企业会计核算领域</w:t>
      </w:r>
      <w:r>
        <w:rPr>
          <w:rFonts w:hint="eastAsia" w:ascii="Times New Roman" w:hAnsi="Times New Roman" w:eastAsia="宋体" w:cs="Times New Roman"/>
          <w:sz w:val="24"/>
          <w:lang w:val="en-US" w:eastAsia="zh-CN"/>
        </w:rPr>
        <w:t>培养能够践行社会主义核心价值观，</w:t>
      </w:r>
      <w:r>
        <w:rPr>
          <w:rFonts w:hint="eastAsia" w:ascii="Times New Roman" w:hAnsi="Times New Roman" w:eastAsia="宋体" w:cs="Times New Roman"/>
          <w:sz w:val="24"/>
        </w:rPr>
        <w:t>德技并修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德、智、体、美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劳</w:t>
      </w:r>
      <w:r>
        <w:rPr>
          <w:rFonts w:hint="eastAsia" w:ascii="Times New Roman" w:hAnsi="Times New Roman" w:eastAsia="宋体" w:cs="Times New Roman"/>
          <w:sz w:val="24"/>
        </w:rPr>
        <w:t>全面发展，具有</w:t>
      </w:r>
      <w:r>
        <w:rPr>
          <w:rFonts w:hint="eastAsia" w:ascii="Times New Roman" w:hAnsi="Times New Roman" w:eastAsia="宋体" w:cs="Times New Roman"/>
          <w:sz w:val="24"/>
          <w:lang w:val="en-US" w:eastAsia="zh-CN"/>
        </w:rPr>
        <w:t>一定的</w:t>
      </w:r>
      <w:r>
        <w:rPr>
          <w:rFonts w:hint="eastAsia" w:ascii="Times New Roman" w:hAnsi="Times New Roman" w:eastAsia="宋体" w:cs="Times New Roman"/>
          <w:sz w:val="24"/>
        </w:rPr>
        <w:t>科学文化基础知识，</w:t>
      </w:r>
      <w:r>
        <w:rPr>
          <w:rFonts w:hint="eastAsia" w:ascii="Times New Roman" w:hAnsi="Times New Roman" w:eastAsia="宋体" w:cs="Times New Roman"/>
          <w:sz w:val="24"/>
          <w:lang w:val="en-US" w:eastAsia="zh-CN"/>
        </w:rPr>
        <w:t>具有良好的人文素养、职业道德</w:t>
      </w:r>
      <w:r>
        <w:rPr>
          <w:rFonts w:hint="eastAsia" w:ascii="宋体" w:hAnsi="宋体" w:eastAsia="宋体" w:cs="宋体"/>
          <w:sz w:val="24"/>
          <w:lang w:val="en-US" w:eastAsia="zh-CN"/>
        </w:rPr>
        <w:t>、创新意识和精益求精的工匠精神，具有</w:t>
      </w:r>
      <w:r>
        <w:rPr>
          <w:rFonts w:hint="default" w:ascii="宋体" w:hAnsi="宋体" w:eastAsia="宋体" w:cs="宋体"/>
          <w:sz w:val="24"/>
          <w:lang w:val="en-US" w:eastAsia="zh-CN"/>
        </w:rPr>
        <w:t>较强的就业创业能力和可持续发展的能力，</w:t>
      </w:r>
      <w:r>
        <w:rPr>
          <w:rFonts w:hint="eastAsia" w:ascii="宋体" w:hAnsi="宋体" w:eastAsia="宋体" w:cs="宋体"/>
          <w:sz w:val="24"/>
        </w:rPr>
        <w:t>掌握会计岗位必备的理论知识和专业技能，既能用手工方法处理日常会计业务，又能用会计软件进行会计核算</w:t>
      </w:r>
      <w:r>
        <w:rPr>
          <w:rFonts w:hint="eastAsia" w:ascii="宋体" w:hAnsi="宋体" w:eastAsia="宋体" w:cs="宋体"/>
          <w:sz w:val="24"/>
          <w:lang w:eastAsia="zh-CN"/>
        </w:rPr>
        <w:t>、</w:t>
      </w:r>
      <w:r>
        <w:rPr>
          <w:rFonts w:hint="default" w:ascii="宋体" w:hAnsi="宋体" w:eastAsia="宋体" w:cs="宋体"/>
          <w:sz w:val="24"/>
          <w:lang w:val="en-US" w:eastAsia="zh-CN"/>
        </w:rPr>
        <w:t>企业财务大数据分析</w:t>
      </w:r>
      <w:r>
        <w:rPr>
          <w:rFonts w:hint="eastAsia" w:ascii="宋体" w:hAnsi="宋体" w:eastAsia="宋体" w:cs="宋体"/>
          <w:sz w:val="24"/>
          <w:lang w:val="en-US" w:eastAsia="zh-CN"/>
        </w:rPr>
        <w:t>和</w:t>
      </w:r>
      <w:r>
        <w:rPr>
          <w:rFonts w:hint="default" w:ascii="宋体" w:hAnsi="宋体" w:eastAsia="宋体" w:cs="宋体"/>
          <w:sz w:val="24"/>
          <w:lang w:val="en-US" w:eastAsia="zh-CN"/>
        </w:rPr>
        <w:t>管理的高素质技术技能人才。</w:t>
      </w:r>
    </w:p>
    <w:p>
      <w:pPr>
        <w:spacing w:line="360" w:lineRule="auto"/>
        <w:ind w:firstLine="420" w:firstLineChars="200"/>
        <w:rPr>
          <w:rFonts w:hint="eastAsia" w:ascii="Times New Roman" w:hAnsi="Times New Roman" w:eastAsia="宋体" w:cs="Times New Roman"/>
          <w:sz w:val="24"/>
          <w:lang w:val="en-US" w:eastAsia="zh-CN"/>
        </w:rPr>
      </w:pPr>
      <w:r>
        <w:rPr>
          <w:rFonts w:hint="eastAsia" w:ascii="宋体" w:hAnsi="宋体" w:eastAsia="宋体" w:cs="宋体"/>
          <w:color w:val="000000"/>
          <w:kern w:val="0"/>
          <w:sz w:val="21"/>
          <w:szCs w:val="21"/>
          <w:lang w:val="en-US" w:eastAsia="zh-CN" w:bidi="ar"/>
        </w:rPr>
        <w:t xml:space="preserve"> </w:t>
      </w:r>
      <w:r>
        <w:rPr>
          <w:rFonts w:hint="eastAsia" w:ascii="Times New Roman" w:hAnsi="Times New Roman" w:eastAsia="宋体" w:cs="Times New Roman"/>
          <w:sz w:val="24"/>
          <w:lang w:val="en-US" w:eastAsia="zh-CN"/>
        </w:rPr>
        <w:t>本专业学生在知识、 能力、素质上须达到以下要求：</w:t>
      </w:r>
    </w:p>
    <w:p>
      <w:pPr>
        <w:spacing w:line="360" w:lineRule="auto"/>
        <w:ind w:firstLine="482" w:firstLineChars="200"/>
        <w:jc w:val="left"/>
        <w:rPr>
          <w:rFonts w:ascii="宋体" w:hAnsi="宋体" w:cs="宋体"/>
          <w:b/>
          <w:bCs/>
          <w:sz w:val="24"/>
        </w:rPr>
      </w:pPr>
      <w:r>
        <w:rPr>
          <w:rFonts w:hint="eastAsia" w:ascii="宋体" w:hAnsi="宋体" w:cs="宋体"/>
          <w:b/>
          <w:bCs/>
          <w:sz w:val="24"/>
        </w:rPr>
        <w:t>1.知识要求</w:t>
      </w:r>
    </w:p>
    <w:p>
      <w:pPr>
        <w:spacing w:line="400" w:lineRule="exact"/>
        <w:ind w:firstLine="480" w:firstLineChars="200"/>
        <w:rPr>
          <w:color w:val="000000"/>
          <w:sz w:val="24"/>
        </w:rPr>
      </w:pPr>
      <w:r>
        <w:rPr>
          <w:rFonts w:hint="eastAsia"/>
          <w:color w:val="000000"/>
          <w:sz w:val="24"/>
        </w:rPr>
        <w:t>①掌握出纳工作守则的基本要求和票据、现金、银行存款和外汇等日常业务核算和管理的基本知识。</w:t>
      </w:r>
    </w:p>
    <w:p>
      <w:pPr>
        <w:spacing w:line="400" w:lineRule="exact"/>
        <w:ind w:firstLine="480" w:firstLineChars="200"/>
        <w:rPr>
          <w:color w:val="000000"/>
          <w:sz w:val="24"/>
        </w:rPr>
      </w:pPr>
      <w:r>
        <w:rPr>
          <w:rFonts w:hint="eastAsia"/>
          <w:color w:val="000000"/>
          <w:sz w:val="24"/>
        </w:rPr>
        <w:t>②掌握中小企业的资产、负债、所有者权益、收入、费用和利润的会计核算方法及会计报表的编制方法。</w:t>
      </w:r>
    </w:p>
    <w:p>
      <w:pPr>
        <w:spacing w:line="400" w:lineRule="exact"/>
        <w:ind w:firstLine="480" w:firstLineChars="200"/>
        <w:rPr>
          <w:color w:val="000000"/>
          <w:sz w:val="24"/>
        </w:rPr>
      </w:pPr>
      <w:r>
        <w:rPr>
          <w:rFonts w:hint="eastAsia"/>
          <w:color w:val="000000"/>
          <w:sz w:val="24"/>
        </w:rPr>
        <w:t>③掌握会计法、税法、票据法等相关财经法规的基础知识；掌握会计人员职业道德的基本要求。</w:t>
      </w:r>
    </w:p>
    <w:p>
      <w:pPr>
        <w:spacing w:line="400" w:lineRule="exact"/>
        <w:ind w:firstLine="480" w:firstLineChars="200"/>
        <w:rPr>
          <w:color w:val="000000"/>
          <w:sz w:val="24"/>
        </w:rPr>
      </w:pPr>
      <w:r>
        <w:rPr>
          <w:rFonts w:hint="eastAsia"/>
          <w:color w:val="000000"/>
          <w:sz w:val="24"/>
        </w:rPr>
        <w:t>④掌握企业的盈利能力、资产管理能力、偿债能力、发展能力和社会贡献能力的基本分析方法。</w:t>
      </w:r>
    </w:p>
    <w:p>
      <w:pPr>
        <w:spacing w:line="400" w:lineRule="exact"/>
        <w:ind w:firstLine="480" w:firstLineChars="200"/>
        <w:rPr>
          <w:color w:val="000000"/>
          <w:sz w:val="24"/>
        </w:rPr>
      </w:pPr>
      <w:r>
        <w:rPr>
          <w:rFonts w:hint="eastAsia"/>
          <w:color w:val="000000"/>
          <w:sz w:val="24"/>
        </w:rPr>
        <w:t>⑤掌握材料费用、人工费用、辅助生产费用和制造费用等费用的归集和分配方法；掌握生产费用在完工产品和在产品之间分配方法；掌握分批法、品种法和分步法等核算方法。</w:t>
      </w:r>
    </w:p>
    <w:p>
      <w:pPr>
        <w:spacing w:line="400" w:lineRule="exact"/>
        <w:ind w:firstLine="480" w:firstLineChars="200"/>
        <w:rPr>
          <w:color w:val="000000"/>
          <w:sz w:val="24"/>
        </w:rPr>
      </w:pPr>
      <w:r>
        <w:rPr>
          <w:rFonts w:hint="eastAsia"/>
          <w:color w:val="000000"/>
          <w:sz w:val="24"/>
        </w:rPr>
        <w:t>⑥掌握会计电算化的初始化及总账、固定资产、工资、应收和应付账款等模块的基本操作方法。</w:t>
      </w:r>
    </w:p>
    <w:p>
      <w:pPr>
        <w:spacing w:line="400" w:lineRule="exact"/>
        <w:ind w:firstLine="480" w:firstLineChars="200"/>
        <w:rPr>
          <w:color w:val="000000"/>
          <w:sz w:val="24"/>
        </w:rPr>
      </w:pPr>
      <w:r>
        <w:rPr>
          <w:rFonts w:hint="eastAsia"/>
          <w:color w:val="000000"/>
          <w:sz w:val="24"/>
        </w:rPr>
        <w:t>⑦掌握办理税务登记事务的基础知识；掌握增值税、营业税、企业所得税、个人所得税等税种的计算方法和纳税申报程序。</w:t>
      </w:r>
    </w:p>
    <w:p>
      <w:pPr>
        <w:spacing w:line="400" w:lineRule="exact"/>
        <w:ind w:firstLine="480" w:firstLineChars="200"/>
        <w:rPr>
          <w:color w:val="000000"/>
          <w:sz w:val="24"/>
        </w:rPr>
      </w:pPr>
      <w:r>
        <w:rPr>
          <w:rFonts w:hint="eastAsia"/>
          <w:color w:val="000000"/>
          <w:sz w:val="24"/>
        </w:rPr>
        <w:t>⑧掌握审计的基本知识；掌握各个审计循环的符合性测试和各个报表项目的实质性测试的审计方法。</w:t>
      </w:r>
    </w:p>
    <w:p>
      <w:pPr>
        <w:spacing w:line="360" w:lineRule="auto"/>
        <w:ind w:firstLine="482" w:firstLineChars="200"/>
        <w:jc w:val="left"/>
        <w:rPr>
          <w:rFonts w:ascii="宋体" w:hAnsi="宋体" w:cs="宋体"/>
          <w:b/>
          <w:bCs/>
          <w:sz w:val="24"/>
        </w:rPr>
      </w:pPr>
      <w:r>
        <w:rPr>
          <w:rFonts w:hint="eastAsia" w:ascii="宋体" w:hAnsi="宋体" w:cs="宋体"/>
          <w:b/>
          <w:bCs/>
          <w:sz w:val="24"/>
        </w:rPr>
        <w:t>2.能力要求</w:t>
      </w:r>
    </w:p>
    <w:p>
      <w:pPr>
        <w:numPr>
          <w:ilvl w:val="0"/>
          <w:numId w:val="0"/>
        </w:numPr>
        <w:spacing w:line="400" w:lineRule="exact"/>
        <w:ind w:firstLine="480" w:firstLineChars="200"/>
        <w:rPr>
          <w:rFonts w:hint="eastAsia"/>
          <w:color w:val="000000"/>
          <w:sz w:val="24"/>
          <w:lang w:eastAsia="zh-CN"/>
        </w:rPr>
      </w:pPr>
      <w:r>
        <w:rPr>
          <w:rFonts w:hint="eastAsia"/>
          <w:color w:val="000000"/>
          <w:sz w:val="24"/>
          <w:lang w:eastAsia="zh-CN"/>
        </w:rPr>
        <w:fldChar w:fldCharType="begin"/>
      </w:r>
      <w:r>
        <w:rPr>
          <w:rFonts w:hint="eastAsia"/>
          <w:color w:val="000000"/>
          <w:sz w:val="24"/>
          <w:lang w:eastAsia="zh-CN"/>
        </w:rPr>
        <w:instrText xml:space="preserve"> = 1 \* GB2 </w:instrText>
      </w:r>
      <w:r>
        <w:rPr>
          <w:rFonts w:hint="eastAsia"/>
          <w:color w:val="000000"/>
          <w:sz w:val="24"/>
          <w:lang w:eastAsia="zh-CN"/>
        </w:rPr>
        <w:fldChar w:fldCharType="separate"/>
      </w:r>
      <w:r>
        <w:rPr>
          <w:rFonts w:hint="eastAsia"/>
          <w:color w:val="000000"/>
          <w:sz w:val="24"/>
          <w:lang w:eastAsia="zh-CN"/>
        </w:rPr>
        <w:t>⑴</w:t>
      </w:r>
      <w:r>
        <w:rPr>
          <w:rFonts w:hint="eastAsia"/>
          <w:color w:val="000000"/>
          <w:sz w:val="24"/>
          <w:lang w:eastAsia="zh-CN"/>
        </w:rPr>
        <w:fldChar w:fldCharType="end"/>
      </w:r>
      <w:r>
        <w:rPr>
          <w:rFonts w:hint="eastAsia"/>
          <w:color w:val="000000"/>
          <w:sz w:val="24"/>
          <w:lang w:eastAsia="zh-CN"/>
        </w:rPr>
        <w:t xml:space="preserve"> 社会能力</w:t>
      </w:r>
    </w:p>
    <w:p>
      <w:pPr>
        <w:spacing w:line="400" w:lineRule="exact"/>
        <w:ind w:firstLine="480" w:firstLineChars="200"/>
        <w:rPr>
          <w:color w:val="000000"/>
          <w:sz w:val="24"/>
        </w:rPr>
      </w:pPr>
      <w:r>
        <w:rPr>
          <w:rFonts w:hint="eastAsia"/>
          <w:color w:val="000000"/>
          <w:sz w:val="24"/>
        </w:rPr>
        <w:t>①具有运用会计电算化专业知识，分析和解决实际工作中基本问题的能力。</w:t>
      </w:r>
    </w:p>
    <w:p>
      <w:pPr>
        <w:spacing w:line="400" w:lineRule="exact"/>
        <w:ind w:firstLine="480" w:firstLineChars="200"/>
        <w:rPr>
          <w:color w:val="000000"/>
          <w:sz w:val="24"/>
        </w:rPr>
      </w:pPr>
      <w:r>
        <w:rPr>
          <w:rFonts w:hint="eastAsia"/>
          <w:color w:val="000000"/>
          <w:sz w:val="24"/>
        </w:rPr>
        <w:t>②能胜任会计相关岗位工作。</w:t>
      </w:r>
    </w:p>
    <w:p>
      <w:pPr>
        <w:spacing w:line="400" w:lineRule="exact"/>
        <w:ind w:firstLine="480" w:firstLineChars="200"/>
        <w:rPr>
          <w:color w:val="000000"/>
          <w:sz w:val="24"/>
        </w:rPr>
      </w:pPr>
      <w:r>
        <w:rPr>
          <w:rFonts w:hint="eastAsia"/>
          <w:color w:val="000000"/>
          <w:sz w:val="24"/>
        </w:rPr>
        <w:t>③具有一定的外语水平，可借阅字典阅读本专业的书刊资料。</w:t>
      </w:r>
    </w:p>
    <w:p>
      <w:pPr>
        <w:spacing w:line="400" w:lineRule="exact"/>
        <w:ind w:firstLine="480" w:firstLineChars="200"/>
        <w:rPr>
          <w:color w:val="000000"/>
          <w:sz w:val="24"/>
        </w:rPr>
      </w:pPr>
      <w:r>
        <w:rPr>
          <w:rFonts w:hint="eastAsia"/>
          <w:color w:val="000000"/>
          <w:sz w:val="24"/>
        </w:rPr>
        <w:t>④具有较强的自学能力及分析、解决会计业务的能力，以及具备一定的组织管理能力。</w:t>
      </w:r>
    </w:p>
    <w:p>
      <w:pPr>
        <w:spacing w:line="400" w:lineRule="exact"/>
        <w:ind w:firstLine="480" w:firstLineChars="200"/>
        <w:rPr>
          <w:color w:val="000000"/>
          <w:sz w:val="24"/>
        </w:rPr>
      </w:pPr>
      <w:r>
        <w:rPr>
          <w:rFonts w:hint="eastAsia"/>
          <w:color w:val="000000"/>
          <w:sz w:val="24"/>
        </w:rPr>
        <w:t>⑤掌握文献检索、资料查询的基本方法，具有一定的科学研究和实际工作能力。</w:t>
      </w:r>
    </w:p>
    <w:p>
      <w:pPr>
        <w:numPr>
          <w:ilvl w:val="0"/>
          <w:numId w:val="0"/>
        </w:numPr>
        <w:spacing w:line="400" w:lineRule="exact"/>
        <w:ind w:firstLine="480" w:firstLineChars="200"/>
        <w:rPr>
          <w:rFonts w:hint="eastAsia"/>
          <w:color w:val="000000"/>
          <w:sz w:val="24"/>
          <w:lang w:eastAsia="zh-CN"/>
        </w:rPr>
      </w:pPr>
      <w:r>
        <w:rPr>
          <w:rFonts w:hint="eastAsia"/>
          <w:color w:val="000000"/>
          <w:sz w:val="24"/>
          <w:lang w:eastAsia="zh-CN"/>
        </w:rPr>
        <w:t>（</w:t>
      </w:r>
      <w:r>
        <w:rPr>
          <w:rFonts w:hint="eastAsia"/>
          <w:color w:val="000000"/>
          <w:sz w:val="24"/>
          <w:lang w:val="en-US" w:eastAsia="zh-CN"/>
        </w:rPr>
        <w:t>2</w:t>
      </w:r>
      <w:r>
        <w:rPr>
          <w:rFonts w:hint="eastAsia"/>
          <w:color w:val="000000"/>
          <w:sz w:val="24"/>
          <w:lang w:eastAsia="zh-CN"/>
        </w:rPr>
        <w:t>）方法能力</w:t>
      </w:r>
    </w:p>
    <w:p>
      <w:pPr>
        <w:spacing w:line="400" w:lineRule="exact"/>
        <w:ind w:firstLine="480" w:firstLineChars="200"/>
        <w:rPr>
          <w:color w:val="000000"/>
          <w:sz w:val="24"/>
        </w:rPr>
      </w:pPr>
      <w:r>
        <w:rPr>
          <w:rFonts w:hint="eastAsia"/>
          <w:color w:val="000000"/>
          <w:sz w:val="24"/>
        </w:rPr>
        <w:t>①掌握会计、统计、审计的基本方法与技能</w:t>
      </w:r>
    </w:p>
    <w:p>
      <w:pPr>
        <w:spacing w:line="400" w:lineRule="exact"/>
        <w:ind w:firstLine="480" w:firstLineChars="200"/>
        <w:rPr>
          <w:color w:val="000000"/>
          <w:sz w:val="24"/>
        </w:rPr>
      </w:pPr>
      <w:r>
        <w:rPr>
          <w:rFonts w:hint="eastAsia"/>
          <w:color w:val="000000"/>
          <w:sz w:val="24"/>
        </w:rPr>
        <w:t>②掌握</w:t>
      </w:r>
      <w:r>
        <w:fldChar w:fldCharType="begin"/>
      </w:r>
      <w:r>
        <w:instrText xml:space="preserve"> HYPERLINK "http://jingmao.ycnxy.com" </w:instrText>
      </w:r>
      <w:r>
        <w:fldChar w:fldCharType="separate"/>
      </w:r>
      <w:r>
        <w:rPr>
          <w:rFonts w:hint="eastAsia"/>
          <w:color w:val="000000"/>
          <w:sz w:val="24"/>
        </w:rPr>
        <w:t>会计电算化</w:t>
      </w:r>
      <w:r>
        <w:rPr>
          <w:rFonts w:hint="eastAsia"/>
          <w:color w:val="000000"/>
          <w:sz w:val="24"/>
        </w:rPr>
        <w:fldChar w:fldCharType="end"/>
      </w:r>
      <w:r>
        <w:rPr>
          <w:rFonts w:hint="eastAsia"/>
          <w:color w:val="000000"/>
          <w:sz w:val="24"/>
        </w:rPr>
        <w:t>的基本技能</w:t>
      </w:r>
    </w:p>
    <w:p>
      <w:pPr>
        <w:spacing w:line="400" w:lineRule="exact"/>
        <w:ind w:firstLine="480" w:firstLineChars="200"/>
        <w:rPr>
          <w:color w:val="000000"/>
          <w:sz w:val="24"/>
        </w:rPr>
      </w:pPr>
      <w:r>
        <w:rPr>
          <w:rFonts w:hint="eastAsia"/>
          <w:color w:val="000000"/>
          <w:sz w:val="24"/>
        </w:rPr>
        <w:t>③具有比较熟练的计算机操作能力</w:t>
      </w:r>
    </w:p>
    <w:p>
      <w:pPr>
        <w:spacing w:line="400" w:lineRule="exact"/>
        <w:ind w:firstLine="480" w:firstLineChars="200"/>
        <w:rPr>
          <w:color w:val="000000"/>
          <w:sz w:val="24"/>
        </w:rPr>
      </w:pPr>
      <w:r>
        <w:rPr>
          <w:rFonts w:hint="eastAsia"/>
          <w:color w:val="000000"/>
          <w:sz w:val="24"/>
        </w:rPr>
        <w:t>④具有一定的语言表达和写作能力。</w:t>
      </w:r>
    </w:p>
    <w:p>
      <w:pPr>
        <w:numPr>
          <w:ilvl w:val="0"/>
          <w:numId w:val="0"/>
        </w:numPr>
        <w:spacing w:line="400" w:lineRule="exact"/>
        <w:ind w:firstLine="480" w:firstLineChars="200"/>
        <w:rPr>
          <w:color w:val="000000"/>
          <w:sz w:val="24"/>
        </w:rPr>
      </w:pPr>
      <w:r>
        <w:rPr>
          <w:rFonts w:hint="eastAsia"/>
          <w:color w:val="000000"/>
          <w:sz w:val="24"/>
          <w:lang w:eastAsia="zh-CN"/>
        </w:rPr>
        <w:t>（</w:t>
      </w:r>
      <w:r>
        <w:rPr>
          <w:rFonts w:hint="eastAsia"/>
          <w:color w:val="000000"/>
          <w:sz w:val="24"/>
          <w:lang w:val="en-US" w:eastAsia="zh-CN"/>
        </w:rPr>
        <w:t>3</w:t>
      </w:r>
      <w:r>
        <w:rPr>
          <w:rFonts w:hint="eastAsia"/>
          <w:color w:val="000000"/>
          <w:sz w:val="24"/>
          <w:lang w:eastAsia="zh-CN"/>
        </w:rPr>
        <w:t>）</w:t>
      </w:r>
      <w:r>
        <w:rPr>
          <w:rFonts w:hint="eastAsia"/>
          <w:color w:val="000000"/>
          <w:sz w:val="24"/>
        </w:rPr>
        <w:t>专业能力</w:t>
      </w:r>
    </w:p>
    <w:p>
      <w:pPr>
        <w:spacing w:line="400" w:lineRule="exact"/>
        <w:ind w:firstLine="480" w:firstLineChars="200"/>
        <w:rPr>
          <w:color w:val="000000"/>
          <w:sz w:val="24"/>
        </w:rPr>
      </w:pPr>
      <w:r>
        <w:rPr>
          <w:rFonts w:hint="eastAsia"/>
          <w:color w:val="000000"/>
          <w:sz w:val="24"/>
        </w:rPr>
        <w:t>①能够开具各类票据、正确处理各类货币资金的日常业务和准确登记账簿的能力。</w:t>
      </w:r>
    </w:p>
    <w:p>
      <w:pPr>
        <w:spacing w:line="400" w:lineRule="exact"/>
        <w:ind w:firstLine="480" w:firstLineChars="200"/>
        <w:rPr>
          <w:color w:val="000000"/>
          <w:sz w:val="24"/>
        </w:rPr>
      </w:pPr>
      <w:r>
        <w:rPr>
          <w:rFonts w:hint="eastAsia"/>
          <w:color w:val="000000"/>
          <w:sz w:val="24"/>
        </w:rPr>
        <w:t>②能够识别原始凭证、填制记账凭证、登记账簿、期末对账和报表编制及分析的能力。</w:t>
      </w:r>
    </w:p>
    <w:p>
      <w:pPr>
        <w:spacing w:line="400" w:lineRule="exact"/>
        <w:ind w:firstLine="480" w:firstLineChars="200"/>
        <w:rPr>
          <w:color w:val="000000"/>
          <w:sz w:val="24"/>
        </w:rPr>
      </w:pPr>
      <w:r>
        <w:rPr>
          <w:rFonts w:hint="eastAsia"/>
          <w:color w:val="000000"/>
          <w:sz w:val="24"/>
        </w:rPr>
        <w:t>③能够运用财务管理的基本方法进行投资、筹资、分配决策和编制财务预算、实施财务控制的能力。</w:t>
      </w:r>
    </w:p>
    <w:p>
      <w:pPr>
        <w:spacing w:line="400" w:lineRule="exact"/>
        <w:ind w:firstLine="480" w:firstLineChars="200"/>
        <w:rPr>
          <w:color w:val="000000"/>
          <w:sz w:val="24"/>
        </w:rPr>
      </w:pPr>
      <w:r>
        <w:rPr>
          <w:rFonts w:hint="eastAsia"/>
          <w:color w:val="000000"/>
          <w:sz w:val="24"/>
        </w:rPr>
        <w:t>④能够选择恰当的成本核算方法进行产品成本核算、成本控制和成本管理的能力。</w:t>
      </w:r>
    </w:p>
    <w:p>
      <w:pPr>
        <w:spacing w:line="400" w:lineRule="exact"/>
        <w:ind w:firstLine="480" w:firstLineChars="200"/>
        <w:rPr>
          <w:color w:val="000000"/>
          <w:sz w:val="24"/>
        </w:rPr>
      </w:pPr>
      <w:r>
        <w:rPr>
          <w:rFonts w:hint="eastAsia"/>
          <w:color w:val="000000"/>
          <w:sz w:val="24"/>
        </w:rPr>
        <w:t>⑤能够利用会计电算化软件建立账务应用环境和选择与运用财务专用模块进行账务处理的能力。</w:t>
      </w:r>
    </w:p>
    <w:p>
      <w:pPr>
        <w:spacing w:line="400" w:lineRule="exact"/>
        <w:ind w:firstLine="480" w:firstLineChars="200"/>
        <w:rPr>
          <w:color w:val="000000"/>
          <w:sz w:val="24"/>
        </w:rPr>
      </w:pPr>
      <w:r>
        <w:rPr>
          <w:rFonts w:hint="eastAsia"/>
          <w:color w:val="000000"/>
          <w:sz w:val="24"/>
        </w:rPr>
        <w:t>⑥能够领购和使用各类发票、填制涉税文书、进行网上纳税申报的能力。</w:t>
      </w:r>
    </w:p>
    <w:p>
      <w:pPr>
        <w:spacing w:line="400" w:lineRule="exact"/>
        <w:ind w:firstLine="480" w:firstLineChars="200"/>
        <w:rPr>
          <w:color w:val="000000"/>
          <w:sz w:val="24"/>
        </w:rPr>
      </w:pPr>
      <w:r>
        <w:rPr>
          <w:rFonts w:hint="eastAsia"/>
          <w:color w:val="000000"/>
          <w:sz w:val="24"/>
        </w:rPr>
        <w:t>⑦能够运用各种审计方法，拟定审计方案、实施审计程序和撰写审计报告的能力。</w:t>
      </w:r>
    </w:p>
    <w:p>
      <w:pPr>
        <w:spacing w:line="360" w:lineRule="auto"/>
        <w:ind w:firstLine="482" w:firstLineChars="200"/>
        <w:jc w:val="left"/>
        <w:rPr>
          <w:rFonts w:ascii="宋体" w:hAnsi="宋体" w:cs="宋体"/>
          <w:b/>
          <w:bCs/>
          <w:sz w:val="24"/>
        </w:rPr>
      </w:pPr>
      <w:r>
        <w:rPr>
          <w:rFonts w:hint="eastAsia" w:ascii="宋体" w:hAnsi="宋体" w:cs="宋体"/>
          <w:b/>
          <w:bCs/>
          <w:sz w:val="24"/>
        </w:rPr>
        <w:t>3.素质要求</w:t>
      </w:r>
    </w:p>
    <w:p>
      <w:pPr>
        <w:spacing w:line="400" w:lineRule="exact"/>
        <w:ind w:firstLine="480" w:firstLineChars="200"/>
        <w:rPr>
          <w:color w:val="000000"/>
          <w:sz w:val="24"/>
        </w:rPr>
      </w:pPr>
      <w:r>
        <w:rPr>
          <w:rFonts w:hint="eastAsia"/>
          <w:color w:val="000000"/>
          <w:sz w:val="24"/>
        </w:rPr>
        <w:t>①具有良好的思想修养、职业道德和社会公德。</w:t>
      </w:r>
    </w:p>
    <w:p>
      <w:pPr>
        <w:spacing w:line="400" w:lineRule="exact"/>
        <w:ind w:firstLine="480" w:firstLineChars="200"/>
        <w:rPr>
          <w:color w:val="000000"/>
          <w:sz w:val="24"/>
        </w:rPr>
      </w:pPr>
      <w:r>
        <w:rPr>
          <w:rFonts w:hint="eastAsia"/>
          <w:color w:val="000000"/>
          <w:sz w:val="24"/>
        </w:rPr>
        <w:t>②树立终身学习理念，具有交流沟通和团队协作能力；具有诚信品质、敬业精神和责任意识、遵纪守法意识；具有一定的实践、创造、就业和创业能力。</w:t>
      </w:r>
    </w:p>
    <w:p>
      <w:pPr>
        <w:spacing w:line="400" w:lineRule="exact"/>
        <w:ind w:firstLine="480" w:firstLineChars="200"/>
        <w:rPr>
          <w:color w:val="000000"/>
          <w:sz w:val="24"/>
        </w:rPr>
      </w:pPr>
      <w:r>
        <w:rPr>
          <w:rFonts w:hint="eastAsia"/>
          <w:color w:val="000000"/>
          <w:sz w:val="24"/>
        </w:rPr>
        <w:t>③具有正确的审美观、审美能力、劳动态度和劳动观点，养成良好的劳动习惯，掌握必要的劳动技能。</w:t>
      </w:r>
    </w:p>
    <w:p>
      <w:p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三、修业年限</w:t>
      </w:r>
    </w:p>
    <w:p>
      <w:pPr>
        <w:widowControl/>
        <w:snapToGrid w:val="0"/>
        <w:spacing w:line="360" w:lineRule="auto"/>
        <w:ind w:firstLine="480" w:firstLineChars="200"/>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学制为2.5年，最高修业年限为5年</w:t>
      </w:r>
      <w:r>
        <w:rPr>
          <w:rFonts w:hint="eastAsia" w:ascii="宋体" w:hAnsi="宋体" w:cs="宋体"/>
          <w:b w:val="0"/>
          <w:bCs w:val="0"/>
          <w:kern w:val="0"/>
          <w:sz w:val="24"/>
          <w:lang w:val="en-US" w:eastAsia="zh-CN"/>
        </w:rPr>
        <w:t>。</w:t>
      </w:r>
    </w:p>
    <w:p>
      <w:pPr>
        <w:spacing w:line="360" w:lineRule="auto"/>
        <w:jc w:val="left"/>
        <w:rPr>
          <w:rFonts w:hint="eastAsia" w:ascii="宋体" w:hAnsi="宋体" w:eastAsia="宋体" w:cs="宋体"/>
          <w:kern w:val="0"/>
          <w:sz w:val="24"/>
        </w:rPr>
      </w:pPr>
      <w:r>
        <w:rPr>
          <w:rFonts w:hint="eastAsia" w:ascii="宋体" w:hAnsi="宋体" w:cs="宋体"/>
          <w:b/>
          <w:bCs/>
          <w:sz w:val="28"/>
          <w:szCs w:val="28"/>
          <w:lang w:val="en-US" w:eastAsia="zh-CN"/>
        </w:rPr>
        <w:t>四、课程设置</w:t>
      </w:r>
      <w:r>
        <w:rPr>
          <w:rFonts w:hint="eastAsia" w:ascii="宋体" w:hAnsi="宋体" w:cs="宋体"/>
          <w:b/>
          <w:bCs/>
          <w:sz w:val="28"/>
          <w:szCs w:val="28"/>
          <w:lang w:val="en-US" w:eastAsia="zh-CN"/>
        </w:rPr>
        <w:br w:type="textWrapping"/>
      </w:r>
      <w:r>
        <w:rPr>
          <w:rFonts w:hint="eastAsia" w:ascii="宋体" w:hAnsi="宋体" w:cs="宋体"/>
          <w:b/>
          <w:bCs/>
          <w:sz w:val="28"/>
          <w:szCs w:val="28"/>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根据培养目标和人才培养规格，本专业课程体系由公共基础课、专业课、素质能力拓展课、实践教学环节四大类构成。</w:t>
      </w:r>
    </w:p>
    <w:p>
      <w:pPr>
        <w:spacing w:line="360" w:lineRule="auto"/>
        <w:ind w:firstLine="480" w:firstLineChars="200"/>
        <w:jc w:val="left"/>
        <w:rPr>
          <w:rFonts w:hint="default" w:ascii="宋体" w:hAnsi="宋体" w:cs="宋体"/>
          <w:color w:val="000000"/>
          <w:sz w:val="24"/>
          <w:lang w:val="en-US" w:eastAsia="zh-CN"/>
        </w:rPr>
      </w:pPr>
      <w:r>
        <w:rPr>
          <w:rFonts w:hint="eastAsia" w:ascii="宋体" w:hAnsi="宋体" w:cs="宋体"/>
          <w:color w:val="000000"/>
          <w:sz w:val="24"/>
          <w:lang w:val="en-US" w:eastAsia="zh-CN"/>
        </w:rPr>
        <w:t>公共基础课包括思想政治理论课、心理健康课、英语、计算机基础知识和高等数学。</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专业课包括动财政金融</w:t>
      </w:r>
      <w:r>
        <w:rPr>
          <w:rFonts w:hint="eastAsia" w:ascii="宋体" w:hAnsi="宋体" w:cs="宋体"/>
          <w:color w:val="auto"/>
          <w:sz w:val="24"/>
          <w:lang w:val="en-US" w:eastAsia="zh-CN"/>
        </w:rPr>
        <w:t>等14门</w:t>
      </w:r>
      <w:r>
        <w:rPr>
          <w:rFonts w:hint="eastAsia" w:ascii="宋体" w:hAnsi="宋体" w:cs="宋体"/>
          <w:color w:val="000000"/>
          <w:sz w:val="24"/>
          <w:lang w:val="en-US" w:eastAsia="zh-CN"/>
        </w:rPr>
        <w:t>专业基础课和专业核心课程。</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职业能力拓展课包括职业生涯发展与规划、电子商务基础、创新创业基础。</w:t>
      </w:r>
    </w:p>
    <w:p>
      <w:pPr>
        <w:spacing w:line="360" w:lineRule="auto"/>
        <w:ind w:firstLine="480" w:firstLineChars="200"/>
        <w:jc w:val="left"/>
        <w:rPr>
          <w:rFonts w:ascii="宋体" w:hAnsi="宋体" w:cs="宋体"/>
          <w:sz w:val="24"/>
        </w:rPr>
      </w:pPr>
      <w:r>
        <w:rPr>
          <w:rFonts w:hint="eastAsia" w:ascii="宋体" w:hAnsi="宋体" w:cs="宋体"/>
          <w:color w:val="000000"/>
          <w:sz w:val="24"/>
          <w:lang w:val="en-US" w:eastAsia="zh-CN"/>
        </w:rPr>
        <w:t>实践教学环节包括入学教育、毕业教育、</w:t>
      </w:r>
      <w:r>
        <w:rPr>
          <w:rFonts w:ascii="宋体" w:hAnsi="宋体" w:cs="宋体"/>
          <w:sz w:val="24"/>
        </w:rPr>
        <w:t>基本技能训练</w:t>
      </w:r>
      <w:r>
        <w:rPr>
          <w:rFonts w:hint="eastAsia" w:ascii="宋体" w:hAnsi="宋体" w:cs="宋体"/>
          <w:color w:val="000000"/>
          <w:sz w:val="24"/>
          <w:lang w:val="en-US" w:eastAsia="zh-CN"/>
        </w:rPr>
        <w:t>及</w:t>
      </w:r>
      <w:r>
        <w:rPr>
          <w:rFonts w:ascii="宋体" w:hAnsi="宋体" w:cs="宋体"/>
          <w:sz w:val="24"/>
        </w:rPr>
        <w:t>职业综合实践</w:t>
      </w:r>
      <w:r>
        <w:rPr>
          <w:rFonts w:hint="eastAsia" w:ascii="宋体" w:hAnsi="宋体" w:cs="宋体"/>
          <w:sz w:val="24"/>
          <w:lang w:eastAsia="zh-CN"/>
        </w:rPr>
        <w:t>（</w:t>
      </w:r>
      <w:r>
        <w:rPr>
          <w:rFonts w:hint="eastAsia" w:ascii="宋体" w:hAnsi="宋体" w:cs="宋体"/>
          <w:color w:val="000000"/>
          <w:sz w:val="24"/>
          <w:lang w:val="en-US" w:eastAsia="zh-CN"/>
        </w:rPr>
        <w:t>毕业实习）。</w:t>
      </w:r>
      <w:r>
        <w:rPr>
          <w:rFonts w:ascii="宋体" w:hAnsi="宋体" w:cs="宋体"/>
          <w:sz w:val="24"/>
        </w:rPr>
        <w:t>基本技能训练是结合相关课程教学进行的课内实验或训练；职业综合实践主要是指毕业实习，是学生在真实的工作环境中进行技能训练和素质养成的重要环节，一般安排在</w:t>
      </w:r>
      <w:r>
        <w:rPr>
          <w:rFonts w:hint="eastAsia" w:ascii="宋体" w:hAnsi="宋体" w:cs="宋体"/>
          <w:sz w:val="24"/>
        </w:rPr>
        <w:t>第五学期</w:t>
      </w:r>
      <w:r>
        <w:rPr>
          <w:rFonts w:ascii="宋体" w:hAnsi="宋体" w:cs="宋体"/>
          <w:sz w:val="24"/>
        </w:rPr>
        <w:t>。</w:t>
      </w:r>
    </w:p>
    <w:p>
      <w:pPr>
        <w:numPr>
          <w:ilvl w:val="0"/>
          <w:numId w:val="0"/>
        </w:numPr>
        <w:spacing w:line="360" w:lineRule="auto"/>
        <w:jc w:val="left"/>
        <w:rPr>
          <w:rFonts w:hint="eastAsia" w:ascii="宋体" w:hAnsi="宋体" w:cs="宋体"/>
          <w:b/>
          <w:bCs/>
          <w:color w:val="000000"/>
          <w:sz w:val="24"/>
          <w:lang w:val="en-US" w:eastAsia="zh-CN"/>
        </w:rPr>
      </w:pPr>
      <w:r>
        <w:rPr>
          <w:rFonts w:hint="eastAsia" w:ascii="宋体" w:hAnsi="宋体" w:eastAsia="宋体" w:cs="宋体"/>
          <w:b/>
          <w:bCs/>
          <w:sz w:val="28"/>
          <w:szCs w:val="28"/>
          <w:lang w:val="en-US" w:eastAsia="zh-CN"/>
        </w:rPr>
        <w:t>五、教学形式</w:t>
      </w:r>
    </w:p>
    <w:p>
      <w:pPr>
        <w:numPr>
          <w:ilvl w:val="0"/>
          <w:numId w:val="0"/>
        </w:num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本专业教学充分发挥信息技术优势，开展线上教学与线下教学、自主学习与协作学习、理论教学与实践教学相结合的混合式教学方式。</w:t>
      </w:r>
      <w:r>
        <w:rPr>
          <w:rFonts w:hint="eastAsia" w:ascii="宋体" w:hAnsi="宋体" w:eastAsia="宋体" w:cs="宋体"/>
          <w:color w:val="auto"/>
          <w:sz w:val="24"/>
          <w:lang w:val="en-US" w:eastAsia="zh-CN"/>
        </w:rPr>
        <w:t>线下教学学时为总学时的</w:t>
      </w:r>
      <w:r>
        <w:rPr>
          <w:rFonts w:hint="eastAsia" w:ascii="宋体" w:hAnsi="宋体" w:cs="宋体"/>
          <w:color w:val="auto"/>
          <w:sz w:val="24"/>
          <w:lang w:val="en-US" w:eastAsia="zh-CN"/>
        </w:rPr>
        <w:t>22.8%。</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六、学时、学分</w:t>
      </w:r>
    </w:p>
    <w:p>
      <w:pPr>
        <w:numPr>
          <w:ilvl w:val="0"/>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本专业</w:t>
      </w:r>
      <w:r>
        <w:rPr>
          <w:rFonts w:hint="eastAsia" w:ascii="宋体" w:hAnsi="宋体" w:cs="宋体"/>
          <w:color w:val="auto"/>
          <w:sz w:val="24"/>
        </w:rPr>
        <w:t>共开设</w:t>
      </w:r>
      <w:r>
        <w:rPr>
          <w:rFonts w:hint="eastAsia" w:ascii="宋体" w:hAnsi="宋体" w:cs="宋体"/>
          <w:color w:val="auto"/>
          <w:sz w:val="24"/>
          <w:lang w:val="en-US" w:eastAsia="zh-CN"/>
        </w:rPr>
        <w:t>28</w:t>
      </w:r>
      <w:r>
        <w:rPr>
          <w:rFonts w:hint="eastAsia" w:ascii="宋体" w:hAnsi="宋体" w:cs="宋体"/>
          <w:color w:val="auto"/>
          <w:sz w:val="24"/>
        </w:rPr>
        <w:t>门课程，全学程教学总学时为</w:t>
      </w:r>
      <w:r>
        <w:rPr>
          <w:rFonts w:hint="eastAsia" w:ascii="宋体" w:hAnsi="宋体" w:cs="宋体"/>
          <w:color w:val="auto"/>
          <w:sz w:val="24"/>
          <w:lang w:val="en-US" w:eastAsia="zh-CN"/>
        </w:rPr>
        <w:t>1672</w:t>
      </w:r>
      <w:r>
        <w:rPr>
          <w:rFonts w:hint="eastAsia" w:ascii="宋体" w:hAnsi="宋体" w:cs="宋体"/>
          <w:color w:val="auto"/>
          <w:sz w:val="24"/>
        </w:rPr>
        <w:t>学时</w:t>
      </w:r>
      <w:r>
        <w:rPr>
          <w:rFonts w:hint="eastAsia" w:ascii="宋体" w:hAnsi="宋体" w:cs="宋体"/>
          <w:color w:val="auto"/>
          <w:sz w:val="24"/>
          <w:lang w:eastAsia="zh-CN"/>
        </w:rPr>
        <w:t>，</w:t>
      </w:r>
      <w:r>
        <w:rPr>
          <w:rFonts w:hint="eastAsia" w:ascii="宋体" w:hAnsi="宋体" w:cs="宋体"/>
          <w:color w:val="auto"/>
          <w:sz w:val="24"/>
          <w:lang w:val="en-US" w:eastAsia="zh-CN"/>
        </w:rPr>
        <w:t>18个学时计1学分，共计93学分。</w:t>
      </w:r>
      <w:r>
        <w:rPr>
          <w:rFonts w:hint="eastAsia" w:ascii="宋体" w:hAnsi="宋体" w:cs="宋体"/>
          <w:color w:val="auto"/>
          <w:sz w:val="24"/>
        </w:rPr>
        <w:t>其中公共基础课</w:t>
      </w:r>
      <w:r>
        <w:rPr>
          <w:rFonts w:hint="eastAsia" w:ascii="宋体" w:hAnsi="宋体" w:cs="宋体"/>
          <w:color w:val="auto"/>
          <w:sz w:val="24"/>
          <w:lang w:val="en-US" w:eastAsia="zh-CN"/>
        </w:rPr>
        <w:t>414</w:t>
      </w:r>
      <w:r>
        <w:rPr>
          <w:rFonts w:hint="eastAsia" w:ascii="宋体" w:hAnsi="宋体" w:cs="宋体"/>
          <w:color w:val="auto"/>
          <w:sz w:val="24"/>
        </w:rPr>
        <w:t>学时，专业课</w:t>
      </w:r>
      <w:r>
        <w:rPr>
          <w:rFonts w:hint="eastAsia" w:ascii="宋体" w:hAnsi="宋体" w:cs="宋体"/>
          <w:color w:val="auto"/>
          <w:sz w:val="24"/>
          <w:lang w:val="en-US" w:eastAsia="zh-CN"/>
        </w:rPr>
        <w:t>954</w:t>
      </w:r>
      <w:r>
        <w:rPr>
          <w:rFonts w:hint="eastAsia" w:ascii="宋体" w:hAnsi="宋体" w:cs="宋体"/>
          <w:color w:val="auto"/>
          <w:sz w:val="24"/>
        </w:rPr>
        <w:t>学时，职业能力拓展课</w:t>
      </w:r>
      <w:r>
        <w:rPr>
          <w:rFonts w:hint="eastAsia" w:ascii="宋体" w:hAnsi="宋体" w:cs="宋体"/>
          <w:color w:val="auto"/>
          <w:sz w:val="24"/>
          <w:lang w:val="en-US" w:eastAsia="zh-CN"/>
        </w:rPr>
        <w:t xml:space="preserve"> 108</w:t>
      </w:r>
      <w:r>
        <w:rPr>
          <w:rFonts w:hint="eastAsia" w:ascii="宋体" w:hAnsi="宋体" w:cs="宋体"/>
          <w:color w:val="auto"/>
          <w:sz w:val="24"/>
        </w:rPr>
        <w:t>学时，入学教育</w:t>
      </w:r>
      <w:r>
        <w:rPr>
          <w:rFonts w:hint="eastAsia" w:ascii="宋体" w:hAnsi="宋体" w:cs="宋体"/>
          <w:color w:val="auto"/>
          <w:sz w:val="24"/>
          <w:lang w:val="en-US" w:eastAsia="zh-CN"/>
        </w:rPr>
        <w:t>18</w:t>
      </w:r>
      <w:r>
        <w:rPr>
          <w:rFonts w:hint="eastAsia" w:ascii="宋体" w:hAnsi="宋体" w:cs="宋体"/>
          <w:color w:val="auto"/>
          <w:sz w:val="24"/>
        </w:rPr>
        <w:t>学时，毕业教育</w:t>
      </w:r>
      <w:r>
        <w:rPr>
          <w:rFonts w:hint="eastAsia" w:ascii="宋体" w:hAnsi="宋体" w:cs="宋体"/>
          <w:color w:val="auto"/>
          <w:sz w:val="24"/>
          <w:lang w:val="en-US" w:eastAsia="zh-CN"/>
        </w:rPr>
        <w:t>18</w:t>
      </w:r>
      <w:r>
        <w:rPr>
          <w:rFonts w:hint="eastAsia" w:ascii="宋体" w:hAnsi="宋体" w:cs="宋体"/>
          <w:color w:val="auto"/>
          <w:sz w:val="24"/>
        </w:rPr>
        <w:t>学时，毕业实习</w:t>
      </w:r>
      <w:r>
        <w:rPr>
          <w:rFonts w:hint="eastAsia" w:ascii="宋体" w:hAnsi="宋体" w:cs="宋体"/>
          <w:color w:val="auto"/>
          <w:sz w:val="24"/>
          <w:lang w:val="en-US" w:eastAsia="zh-CN"/>
        </w:rPr>
        <w:t>160</w:t>
      </w:r>
      <w:r>
        <w:rPr>
          <w:rFonts w:hint="eastAsia" w:ascii="宋体" w:hAnsi="宋体" w:cs="宋体"/>
          <w:color w:val="auto"/>
          <w:sz w:val="24"/>
        </w:rPr>
        <w:t>学时。</w:t>
      </w:r>
    </w:p>
    <w:p>
      <w:pPr>
        <w:numPr>
          <w:ilvl w:val="0"/>
          <w:numId w:val="0"/>
        </w:numPr>
        <w:spacing w:line="360" w:lineRule="auto"/>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七、考核与毕业要求</w:t>
      </w:r>
    </w:p>
    <w:p>
      <w:pPr>
        <w:numPr>
          <w:ilvl w:val="0"/>
          <w:numId w:val="0"/>
        </w:num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课程</w:t>
      </w:r>
      <w:r>
        <w:rPr>
          <w:rFonts w:hint="eastAsia" w:ascii="宋体" w:hAnsi="宋体" w:eastAsia="宋体" w:cs="宋体"/>
          <w:color w:val="000000"/>
          <w:sz w:val="24"/>
          <w:lang w:val="en-US" w:eastAsia="zh-CN"/>
        </w:rPr>
        <w:t>考核</w:t>
      </w:r>
      <w:r>
        <w:rPr>
          <w:rFonts w:hint="eastAsia" w:ascii="宋体" w:hAnsi="宋体" w:eastAsia="宋体" w:cs="宋体"/>
          <w:color w:val="000000"/>
          <w:sz w:val="24"/>
        </w:rPr>
        <w:t>分过程性考核和终结性考核两部分。其中过程性考核成绩占50%，终结性考核成绩占50%。</w:t>
      </w:r>
    </w:p>
    <w:p>
      <w:pPr>
        <w:numPr>
          <w:ilvl w:val="0"/>
          <w:numId w:val="0"/>
        </w:num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rPr>
        <w:t>学生</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规定年限</w:t>
      </w:r>
      <w:r>
        <w:rPr>
          <w:rFonts w:hint="eastAsia" w:ascii="宋体" w:hAnsi="宋体" w:eastAsia="宋体" w:cs="宋体"/>
          <w:color w:val="000000"/>
          <w:sz w:val="24"/>
          <w:lang w:val="en-US" w:eastAsia="zh-CN"/>
        </w:rPr>
        <w:t>内</w:t>
      </w:r>
      <w:r>
        <w:rPr>
          <w:rFonts w:hint="eastAsia" w:ascii="宋体" w:hAnsi="宋体" w:eastAsia="宋体" w:cs="宋体"/>
          <w:color w:val="000000"/>
          <w:sz w:val="24"/>
        </w:rPr>
        <w:t>，学完全部课程，修满专业人才培养方案所规定的学时，成绩合格，达到本专业人才培养目标和培养规格要求者</w:t>
      </w:r>
      <w:r>
        <w:rPr>
          <w:rFonts w:hint="eastAsia" w:ascii="宋体" w:hAnsi="宋体" w:eastAsia="宋体" w:cs="宋体"/>
          <w:color w:val="000000"/>
          <w:sz w:val="24"/>
          <w:lang w:eastAsia="zh-CN"/>
        </w:rPr>
        <w:t>，</w:t>
      </w:r>
      <w:r>
        <w:rPr>
          <w:rFonts w:hint="eastAsia" w:ascii="宋体" w:hAnsi="宋体" w:eastAsia="宋体" w:cs="宋体"/>
          <w:color w:val="000000"/>
          <w:sz w:val="24"/>
        </w:rPr>
        <w:t>颁发成人高等教育专科毕业证书。</w:t>
      </w:r>
    </w:p>
    <w:p>
      <w:pPr>
        <w:spacing w:line="360" w:lineRule="auto"/>
        <w:jc w:val="left"/>
        <w:rPr>
          <w:rFonts w:hint="eastAsia" w:ascii="宋体" w:hAnsi="宋体" w:eastAsia="宋体" w:cs="宋体"/>
          <w:b/>
          <w:bCs/>
          <w:sz w:val="28"/>
          <w:szCs w:val="28"/>
          <w:lang w:val="en-US" w:eastAsia="zh-CN"/>
        </w:rPr>
      </w:pPr>
      <w:r>
        <w:rPr>
          <w:rFonts w:hint="eastAsia" w:ascii="宋体" w:hAnsi="宋体" w:cs="宋体"/>
          <w:b/>
          <w:bCs/>
          <w:sz w:val="28"/>
          <w:szCs w:val="28"/>
        </w:rPr>
        <w:t>八、教学进程</w:t>
      </w:r>
      <w:r>
        <w:rPr>
          <w:rFonts w:hint="eastAsia" w:ascii="宋体" w:hAnsi="宋体" w:cs="宋体"/>
          <w:b/>
          <w:bCs/>
          <w:sz w:val="28"/>
          <w:szCs w:val="28"/>
          <w:lang w:val="en-US" w:eastAsia="zh-CN"/>
        </w:rPr>
        <w:t>安排</w:t>
      </w:r>
    </w:p>
    <w:tbl>
      <w:tblPr>
        <w:tblStyle w:val="8"/>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297"/>
        <w:gridCol w:w="723"/>
        <w:gridCol w:w="2060"/>
        <w:gridCol w:w="374"/>
        <w:gridCol w:w="374"/>
        <w:gridCol w:w="383"/>
        <w:gridCol w:w="365"/>
        <w:gridCol w:w="374"/>
        <w:gridCol w:w="374"/>
        <w:gridCol w:w="374"/>
        <w:gridCol w:w="374"/>
        <w:gridCol w:w="375"/>
        <w:gridCol w:w="375"/>
        <w:gridCol w:w="375"/>
        <w:gridCol w:w="386"/>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jc w:val="center"/>
              <w:rPr>
                <w:rFonts w:ascii="宋体" w:hAnsi="宋体" w:cs="宋体"/>
                <w:b/>
                <w:bCs/>
                <w:sz w:val="18"/>
                <w:szCs w:val="18"/>
              </w:rPr>
            </w:pPr>
            <w:bookmarkStart w:id="0" w:name="_Hlk121147600"/>
            <w:r>
              <w:rPr>
                <w:rFonts w:hint="eastAsia" w:ascii="宋体" w:hAnsi="宋体" w:cs="宋体"/>
                <w:b/>
                <w:bCs/>
                <w:sz w:val="18"/>
                <w:szCs w:val="18"/>
              </w:rPr>
              <w:t>课</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类别</w:t>
            </w:r>
          </w:p>
        </w:tc>
        <w:tc>
          <w:tcPr>
            <w:tcW w:w="297"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序</w:t>
            </w:r>
          </w:p>
          <w:p>
            <w:pPr>
              <w:jc w:val="center"/>
              <w:rPr>
                <w:rFonts w:ascii="宋体" w:hAnsi="宋体" w:cs="宋体"/>
                <w:b/>
                <w:bCs/>
                <w:sz w:val="18"/>
                <w:szCs w:val="18"/>
              </w:rPr>
            </w:pPr>
            <w:r>
              <w:rPr>
                <w:rFonts w:hint="eastAsia" w:ascii="宋体" w:hAnsi="宋体" w:cs="宋体"/>
                <w:b/>
                <w:bCs/>
                <w:sz w:val="18"/>
                <w:szCs w:val="18"/>
              </w:rPr>
              <w:t>号</w:t>
            </w:r>
          </w:p>
        </w:tc>
        <w:tc>
          <w:tcPr>
            <w:tcW w:w="723"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课程</w:t>
            </w:r>
          </w:p>
          <w:p>
            <w:pPr>
              <w:jc w:val="center"/>
              <w:rPr>
                <w:rFonts w:ascii="宋体" w:hAnsi="宋体" w:cs="宋体"/>
                <w:b/>
                <w:bCs/>
                <w:sz w:val="18"/>
                <w:szCs w:val="18"/>
              </w:rPr>
            </w:pPr>
            <w:r>
              <w:rPr>
                <w:rFonts w:hint="eastAsia" w:ascii="宋体" w:hAnsi="宋体" w:cs="宋体"/>
                <w:b/>
                <w:bCs/>
                <w:sz w:val="18"/>
                <w:szCs w:val="18"/>
              </w:rPr>
              <w:t>代码</w:t>
            </w:r>
          </w:p>
        </w:tc>
        <w:tc>
          <w:tcPr>
            <w:tcW w:w="2060"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 程 名 称</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分</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总</w:t>
            </w: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r>
              <w:rPr>
                <w:rFonts w:hint="eastAsia" w:ascii="宋体" w:hAnsi="宋体" w:cs="宋体"/>
                <w:b/>
                <w:bCs/>
                <w:sz w:val="18"/>
                <w:szCs w:val="18"/>
              </w:rPr>
              <w:t>时</w:t>
            </w:r>
          </w:p>
        </w:tc>
        <w:tc>
          <w:tcPr>
            <w:tcW w:w="2994" w:type="dxa"/>
            <w:gridSpan w:val="8"/>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各学期学时分配</w:t>
            </w:r>
          </w:p>
        </w:tc>
        <w:tc>
          <w:tcPr>
            <w:tcW w:w="1147" w:type="dxa"/>
            <w:gridSpan w:val="3"/>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考核</w:t>
            </w:r>
          </w:p>
          <w:p>
            <w:pPr>
              <w:jc w:val="center"/>
              <w:rPr>
                <w:rFonts w:ascii="宋体" w:hAnsi="宋体" w:cs="宋体"/>
                <w:b/>
                <w:bCs/>
                <w:sz w:val="18"/>
                <w:szCs w:val="18"/>
              </w:rPr>
            </w:pPr>
            <w:r>
              <w:rPr>
                <w:rFonts w:hint="eastAsia" w:ascii="宋体" w:hAnsi="宋体" w:cs="宋体"/>
                <w:b/>
                <w:bCs/>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297" w:type="dxa"/>
            <w:vMerge w:val="continue"/>
            <w:tcBorders>
              <w:tl2br w:val="nil"/>
              <w:tr2bl w:val="nil"/>
            </w:tcBorders>
            <w:vAlign w:val="center"/>
          </w:tcPr>
          <w:p>
            <w:pPr>
              <w:jc w:val="center"/>
              <w:rPr>
                <w:rFonts w:ascii="宋体" w:hAnsi="宋体" w:cs="宋体"/>
                <w:b/>
                <w:bCs/>
                <w:sz w:val="18"/>
                <w:szCs w:val="18"/>
              </w:rPr>
            </w:pPr>
          </w:p>
        </w:tc>
        <w:tc>
          <w:tcPr>
            <w:tcW w:w="723" w:type="dxa"/>
            <w:vMerge w:val="continue"/>
            <w:tcBorders>
              <w:tl2br w:val="nil"/>
              <w:tr2bl w:val="nil"/>
            </w:tcBorders>
            <w:vAlign w:val="center"/>
          </w:tcPr>
          <w:p>
            <w:pPr>
              <w:jc w:val="center"/>
              <w:rPr>
                <w:rFonts w:ascii="宋体" w:hAnsi="宋体" w:cs="宋体"/>
                <w:b/>
                <w:bCs/>
                <w:sz w:val="18"/>
                <w:szCs w:val="18"/>
              </w:rPr>
            </w:pPr>
          </w:p>
        </w:tc>
        <w:tc>
          <w:tcPr>
            <w:tcW w:w="2060"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83"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上</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36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下</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验</w:t>
            </w:r>
          </w:p>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训</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一</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二</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三</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四</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五</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过</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性</w:t>
            </w:r>
          </w:p>
          <w:p>
            <w:pPr>
              <w:jc w:val="center"/>
              <w:rPr>
                <w:rFonts w:ascii="宋体" w:hAnsi="宋体" w:cs="宋体"/>
                <w:b/>
                <w:bCs/>
                <w:sz w:val="18"/>
                <w:szCs w:val="18"/>
              </w:rPr>
            </w:pPr>
            <w:r>
              <w:rPr>
                <w:rFonts w:hint="eastAsia" w:ascii="宋体" w:hAnsi="宋体" w:cs="宋体"/>
                <w:b/>
                <w:bCs/>
                <w:sz w:val="18"/>
                <w:szCs w:val="18"/>
              </w:rPr>
              <w:t>考</w:t>
            </w:r>
          </w:p>
          <w:p>
            <w:pPr>
              <w:jc w:val="center"/>
              <w:rPr>
                <w:rFonts w:ascii="宋体" w:hAnsi="宋体" w:cs="宋体"/>
                <w:b/>
                <w:bCs/>
                <w:sz w:val="18"/>
                <w:szCs w:val="18"/>
              </w:rPr>
            </w:pPr>
            <w:r>
              <w:rPr>
                <w:rFonts w:hint="eastAsia" w:ascii="宋体" w:hAnsi="宋体" w:cs="宋体"/>
                <w:b/>
                <w:bCs/>
                <w:sz w:val="18"/>
                <w:szCs w:val="18"/>
              </w:rPr>
              <w:t>核</w:t>
            </w:r>
          </w:p>
        </w:tc>
        <w:tc>
          <w:tcPr>
            <w:tcW w:w="772" w:type="dxa"/>
            <w:gridSpan w:val="2"/>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终结性</w:t>
            </w:r>
          </w:p>
          <w:p>
            <w:pPr>
              <w:jc w:val="center"/>
              <w:rPr>
                <w:rFonts w:ascii="宋体" w:hAnsi="宋体" w:cs="宋体"/>
                <w:b/>
                <w:bCs/>
                <w:sz w:val="18"/>
                <w:szCs w:val="18"/>
              </w:rPr>
            </w:pPr>
            <w:r>
              <w:rPr>
                <w:rFonts w:hint="eastAsia" w:ascii="宋体" w:hAnsi="宋体" w:cs="宋体"/>
                <w:b/>
                <w:bCs/>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297" w:type="dxa"/>
            <w:vMerge w:val="continue"/>
            <w:tcBorders>
              <w:tl2br w:val="nil"/>
              <w:tr2bl w:val="nil"/>
            </w:tcBorders>
            <w:vAlign w:val="center"/>
          </w:tcPr>
          <w:p>
            <w:pPr>
              <w:jc w:val="center"/>
              <w:rPr>
                <w:rFonts w:ascii="宋体" w:hAnsi="宋体" w:cs="宋体"/>
                <w:b/>
                <w:bCs/>
                <w:sz w:val="18"/>
                <w:szCs w:val="18"/>
              </w:rPr>
            </w:pPr>
          </w:p>
        </w:tc>
        <w:tc>
          <w:tcPr>
            <w:tcW w:w="723" w:type="dxa"/>
            <w:vMerge w:val="continue"/>
            <w:tcBorders>
              <w:tl2br w:val="nil"/>
              <w:tr2bl w:val="nil"/>
            </w:tcBorders>
            <w:vAlign w:val="center"/>
          </w:tcPr>
          <w:p>
            <w:pPr>
              <w:jc w:val="center"/>
              <w:rPr>
                <w:rFonts w:ascii="宋体" w:hAnsi="宋体" w:cs="宋体"/>
                <w:b/>
                <w:bCs/>
                <w:sz w:val="18"/>
                <w:szCs w:val="18"/>
              </w:rPr>
            </w:pPr>
          </w:p>
        </w:tc>
        <w:tc>
          <w:tcPr>
            <w:tcW w:w="2060"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83" w:type="dxa"/>
            <w:vMerge w:val="continue"/>
            <w:tcBorders>
              <w:tl2br w:val="nil"/>
              <w:tr2bl w:val="nil"/>
            </w:tcBorders>
            <w:vAlign w:val="center"/>
          </w:tcPr>
          <w:p>
            <w:pPr>
              <w:jc w:val="center"/>
              <w:rPr>
                <w:rFonts w:ascii="宋体" w:hAnsi="宋体" w:cs="宋体"/>
                <w:b/>
                <w:bCs/>
                <w:sz w:val="18"/>
                <w:szCs w:val="18"/>
              </w:rPr>
            </w:pPr>
          </w:p>
        </w:tc>
        <w:tc>
          <w:tcPr>
            <w:tcW w:w="365"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闭卷</w:t>
            </w: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9"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bookmarkStart w:id="1" w:name="_Hlk263065686"/>
            <w:r>
              <w:rPr>
                <w:rFonts w:ascii="Times New Roman" w:hAnsi="宋体"/>
                <w:sz w:val="18"/>
                <w:szCs w:val="18"/>
              </w:rPr>
              <w:t>公</w:t>
            </w:r>
          </w:p>
          <w:p>
            <w:pPr>
              <w:spacing w:line="280" w:lineRule="exact"/>
              <w:jc w:val="center"/>
              <w:rPr>
                <w:rFonts w:ascii="Times New Roman" w:hAnsi="宋体"/>
                <w:sz w:val="18"/>
                <w:szCs w:val="18"/>
              </w:rPr>
            </w:pPr>
            <w:r>
              <w:rPr>
                <w:rFonts w:ascii="Times New Roman" w:hAnsi="宋体"/>
                <w:sz w:val="18"/>
                <w:szCs w:val="18"/>
              </w:rPr>
              <w:t>共</w:t>
            </w:r>
          </w:p>
          <w:p>
            <w:pPr>
              <w:spacing w:line="280" w:lineRule="exact"/>
              <w:jc w:val="center"/>
              <w:rPr>
                <w:rFonts w:ascii="Times New Roman" w:hAnsi="宋体"/>
                <w:sz w:val="18"/>
                <w:szCs w:val="18"/>
              </w:rPr>
            </w:pPr>
            <w:r>
              <w:rPr>
                <w:rFonts w:ascii="Times New Roman" w:hAnsi="宋体"/>
                <w:sz w:val="18"/>
                <w:szCs w:val="18"/>
              </w:rPr>
              <w:t>基</w:t>
            </w:r>
          </w:p>
          <w:p>
            <w:pPr>
              <w:spacing w:line="280" w:lineRule="exact"/>
              <w:jc w:val="center"/>
              <w:rPr>
                <w:rFonts w:ascii="Times New Roman" w:hAnsi="宋体"/>
                <w:sz w:val="18"/>
                <w:szCs w:val="18"/>
              </w:rPr>
            </w:pPr>
            <w:r>
              <w:rPr>
                <w:rFonts w:ascii="Times New Roman" w:hAnsi="宋体"/>
                <w:sz w:val="18"/>
                <w:szCs w:val="18"/>
              </w:rPr>
              <w:t>础</w:t>
            </w:r>
          </w:p>
          <w:p>
            <w:pPr>
              <w:spacing w:line="280" w:lineRule="exact"/>
              <w:jc w:val="center"/>
              <w:rPr>
                <w:rFonts w:ascii="Times New Roman" w:hAnsi="宋体"/>
                <w:sz w:val="18"/>
                <w:szCs w:val="18"/>
              </w:rPr>
            </w:pPr>
            <w:r>
              <w:rPr>
                <w:rFonts w:ascii="Times New Roman" w:hAnsi="宋体"/>
                <w:sz w:val="18"/>
                <w:szCs w:val="18"/>
              </w:rPr>
              <w:t>课</w:t>
            </w:r>
          </w:p>
        </w:tc>
        <w:tc>
          <w:tcPr>
            <w:tcW w:w="297" w:type="dxa"/>
            <w:tcBorders>
              <w:tl2br w:val="nil"/>
              <w:tr2bl w:val="nil"/>
            </w:tcBorders>
            <w:vAlign w:val="center"/>
          </w:tcPr>
          <w:p>
            <w:pPr>
              <w:jc w:val="center"/>
              <w:rPr>
                <w:rFonts w:ascii="Times New Roman" w:hAnsi="宋体"/>
                <w:sz w:val="15"/>
                <w:szCs w:val="15"/>
              </w:rPr>
            </w:pPr>
            <w:r>
              <w:rPr>
                <w:rFonts w:hint="eastAsia" w:ascii="Times New Roman" w:hAnsi="宋体"/>
                <w:sz w:val="15"/>
                <w:szCs w:val="15"/>
              </w:rPr>
              <w:t>1</w:t>
            </w:r>
          </w:p>
        </w:tc>
        <w:tc>
          <w:tcPr>
            <w:tcW w:w="723" w:type="dxa"/>
            <w:tcBorders>
              <w:tl2br w:val="nil"/>
              <w:tr2bl w:val="nil"/>
            </w:tcBorders>
            <w:vAlign w:val="center"/>
          </w:tcPr>
          <w:p>
            <w:pPr>
              <w:rPr>
                <w:rFonts w:hint="default" w:ascii="Times New Roman" w:hAnsi="宋体" w:eastAsia="宋体"/>
                <w:sz w:val="15"/>
                <w:szCs w:val="15"/>
                <w:lang w:val="en-US" w:eastAsia="zh-CN"/>
              </w:rPr>
            </w:pPr>
            <w:r>
              <w:rPr>
                <w:rFonts w:hint="eastAsia" w:ascii="Times New Roman" w:hAnsi="宋体"/>
                <w:sz w:val="15"/>
                <w:szCs w:val="15"/>
                <w:lang w:val="en-US" w:eastAsia="zh-CN"/>
              </w:rPr>
              <w:t>G060101</w:t>
            </w:r>
          </w:p>
        </w:tc>
        <w:tc>
          <w:tcPr>
            <w:tcW w:w="2060"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毛泽东思想和中国特色</w:t>
            </w:r>
          </w:p>
          <w:p>
            <w:pPr>
              <w:jc w:val="center"/>
              <w:rPr>
                <w:rFonts w:ascii="Times New Roman" w:hAnsi="宋体"/>
                <w:sz w:val="18"/>
                <w:szCs w:val="18"/>
              </w:rPr>
            </w:pPr>
            <w:r>
              <w:rPr>
                <w:rFonts w:ascii="Times New Roman" w:hAnsi="Times New Roman"/>
                <w:kern w:val="0"/>
                <w:sz w:val="18"/>
                <w:szCs w:val="18"/>
              </w:rPr>
              <w:t>社会主义理论体系概论</w:t>
            </w:r>
          </w:p>
        </w:tc>
        <w:tc>
          <w:tcPr>
            <w:tcW w:w="374" w:type="dxa"/>
            <w:tcBorders>
              <w:tl2br w:val="nil"/>
              <w:tr2bl w:val="nil"/>
            </w:tcBorders>
            <w:vAlign w:val="center"/>
          </w:tcPr>
          <w:p>
            <w:pPr>
              <w:jc w:val="center"/>
              <w:rPr>
                <w:rFonts w:hint="eastAsia" w:ascii="Times New Roman" w:hAnsi="宋体" w:eastAsia="宋体"/>
                <w:sz w:val="18"/>
                <w:szCs w:val="18"/>
                <w:lang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28</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2</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G060102</w:t>
            </w:r>
          </w:p>
        </w:tc>
        <w:tc>
          <w:tcPr>
            <w:tcW w:w="2060"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计算机应用基础</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3</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G060103</w:t>
            </w:r>
          </w:p>
        </w:tc>
        <w:tc>
          <w:tcPr>
            <w:tcW w:w="2060"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大学英语</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4</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G060104</w:t>
            </w:r>
          </w:p>
        </w:tc>
        <w:tc>
          <w:tcPr>
            <w:tcW w:w="2060"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思想道德与法治</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9"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5</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G060201</w:t>
            </w:r>
          </w:p>
        </w:tc>
        <w:tc>
          <w:tcPr>
            <w:tcW w:w="2060" w:type="dxa"/>
            <w:tcBorders>
              <w:tl2br w:val="nil"/>
              <w:tr2bl w:val="nil"/>
            </w:tcBorders>
            <w:vAlign w:val="center"/>
          </w:tcPr>
          <w:p>
            <w:pPr>
              <w:jc w:val="center"/>
              <w:rPr>
                <w:rFonts w:hint="eastAsia" w:ascii="Times New Roman" w:hAnsi="Times New Roman"/>
                <w:color w:val="000000"/>
                <w:kern w:val="0"/>
                <w:sz w:val="18"/>
                <w:szCs w:val="18"/>
                <w:lang w:val="en-US" w:eastAsia="zh-CN"/>
              </w:rPr>
            </w:pPr>
            <w:r>
              <w:rPr>
                <w:rFonts w:hint="eastAsia" w:ascii="Times New Roman" w:hAnsi="Times New Roman"/>
                <w:color w:val="000000"/>
                <w:kern w:val="0"/>
                <w:sz w:val="18"/>
                <w:szCs w:val="18"/>
                <w:lang w:val="en-US" w:eastAsia="zh-CN"/>
              </w:rPr>
              <w:t>习近平新时代中国特色</w:t>
            </w:r>
          </w:p>
          <w:p>
            <w:pPr>
              <w:jc w:val="center"/>
              <w:rPr>
                <w:rFonts w:hint="eastAsia" w:ascii="Times New Roman" w:hAnsi="Times New Roman"/>
                <w:color w:val="auto"/>
                <w:kern w:val="0"/>
                <w:sz w:val="18"/>
                <w:szCs w:val="18"/>
              </w:rPr>
            </w:pPr>
            <w:r>
              <w:rPr>
                <w:rFonts w:hint="eastAsia" w:ascii="Times New Roman" w:hAnsi="Times New Roman"/>
                <w:color w:val="000000"/>
                <w:kern w:val="0"/>
                <w:sz w:val="18"/>
                <w:szCs w:val="18"/>
                <w:lang w:val="en-US" w:eastAsia="zh-CN"/>
              </w:rPr>
              <w:t>社会主义思想概论</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46</w:t>
            </w:r>
          </w:p>
        </w:tc>
        <w:tc>
          <w:tcPr>
            <w:tcW w:w="36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6</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G060202</w:t>
            </w:r>
          </w:p>
        </w:tc>
        <w:tc>
          <w:tcPr>
            <w:tcW w:w="2060" w:type="dxa"/>
            <w:tcBorders>
              <w:tl2br w:val="nil"/>
              <w:tr2bl w:val="nil"/>
            </w:tcBorders>
            <w:vAlign w:val="center"/>
          </w:tcPr>
          <w:p>
            <w:pPr>
              <w:jc w:val="center"/>
              <w:rPr>
                <w:rFonts w:hint="eastAsia" w:ascii="Times New Roman" w:hAnsi="Times New Roman"/>
                <w:color w:val="auto"/>
                <w:kern w:val="0"/>
                <w:sz w:val="18"/>
                <w:szCs w:val="18"/>
              </w:rPr>
            </w:pPr>
            <w:r>
              <w:rPr>
                <w:rFonts w:hint="eastAsia" w:ascii="Times New Roman" w:hAnsi="Times New Roman"/>
                <w:color w:val="000000"/>
                <w:kern w:val="0"/>
                <w:sz w:val="18"/>
                <w:szCs w:val="18"/>
                <w:lang w:val="en-US" w:eastAsia="zh-CN"/>
              </w:rPr>
              <w:t>大学生心理健康教育</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383"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7</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G060203</w:t>
            </w:r>
          </w:p>
        </w:tc>
        <w:tc>
          <w:tcPr>
            <w:tcW w:w="2060"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形势与政策</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r>
              <w:rPr>
                <w:rFonts w:ascii="Times New Roman" w:hAnsi="宋体"/>
                <w:sz w:val="18"/>
                <w:szCs w:val="18"/>
              </w:rPr>
              <w:t>专</w:t>
            </w:r>
          </w:p>
          <w:p>
            <w:pPr>
              <w:spacing w:line="280" w:lineRule="exact"/>
              <w:jc w:val="center"/>
              <w:rPr>
                <w:rFonts w:ascii="Times New Roman" w:hAnsi="宋体"/>
                <w:sz w:val="18"/>
                <w:szCs w:val="18"/>
              </w:rPr>
            </w:pPr>
            <w:r>
              <w:rPr>
                <w:rFonts w:ascii="Times New Roman" w:hAnsi="宋体"/>
                <w:sz w:val="18"/>
                <w:szCs w:val="18"/>
              </w:rPr>
              <w:t>业</w:t>
            </w:r>
          </w:p>
          <w:p>
            <w:pPr>
              <w:spacing w:line="280" w:lineRule="exact"/>
              <w:jc w:val="center"/>
              <w:rPr>
                <w:rFonts w:ascii="Times New Roman" w:hAnsi="宋体"/>
                <w:sz w:val="18"/>
                <w:szCs w:val="18"/>
              </w:rPr>
            </w:pPr>
            <w:r>
              <w:rPr>
                <w:rFonts w:ascii="Times New Roman" w:hAnsi="宋体"/>
                <w:sz w:val="18"/>
                <w:szCs w:val="18"/>
              </w:rPr>
              <w:t>课</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8</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Z060204</w:t>
            </w:r>
          </w:p>
        </w:tc>
        <w:tc>
          <w:tcPr>
            <w:tcW w:w="2060" w:type="dxa"/>
            <w:tcBorders>
              <w:tl2br w:val="nil"/>
              <w:tr2bl w:val="nil"/>
            </w:tcBorders>
            <w:vAlign w:val="center"/>
          </w:tcPr>
          <w:p>
            <w:pPr>
              <w:jc w:val="center"/>
              <w:rPr>
                <w:rFonts w:hint="eastAsia" w:ascii="Times New Roman" w:hAnsi="Times New Roman"/>
                <w:kern w:val="0"/>
                <w:sz w:val="18"/>
                <w:szCs w:val="18"/>
              </w:rPr>
            </w:pPr>
            <w:r>
              <w:rPr>
                <w:rFonts w:hint="eastAsia" w:ascii="Times New Roman" w:hAnsi="Times New Roman"/>
                <w:kern w:val="0"/>
                <w:sz w:val="18"/>
                <w:szCs w:val="18"/>
              </w:rPr>
              <w:t>高等数学</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9</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Z060205</w:t>
            </w:r>
          </w:p>
        </w:tc>
        <w:tc>
          <w:tcPr>
            <w:tcW w:w="2060"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财政金融</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10</w:t>
            </w:r>
          </w:p>
        </w:tc>
        <w:tc>
          <w:tcPr>
            <w:tcW w:w="723"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lang w:val="en-US" w:eastAsia="zh-CN"/>
              </w:rPr>
              <w:t>Z060206</w:t>
            </w:r>
          </w:p>
        </w:tc>
        <w:tc>
          <w:tcPr>
            <w:tcW w:w="2060" w:type="dxa"/>
            <w:tcBorders>
              <w:tl2br w:val="nil"/>
              <w:tr2bl w:val="nil"/>
            </w:tcBorders>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经济法</w:t>
            </w:r>
            <w:r>
              <w:rPr>
                <w:rFonts w:hint="eastAsia" w:ascii="Times New Roman" w:hAnsi="Times New Roman"/>
                <w:kern w:val="0"/>
                <w:sz w:val="18"/>
                <w:szCs w:val="18"/>
                <w:lang w:val="en-US" w:eastAsia="zh-CN"/>
              </w:rPr>
              <w:t>基础</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11</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Z060301</w:t>
            </w:r>
          </w:p>
        </w:tc>
        <w:tc>
          <w:tcPr>
            <w:tcW w:w="2060"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Excel在会计中应用</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38</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12</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Z060302</w:t>
            </w:r>
          </w:p>
        </w:tc>
        <w:tc>
          <w:tcPr>
            <w:tcW w:w="2060"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基础会计</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13</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Z060303</w:t>
            </w:r>
          </w:p>
        </w:tc>
        <w:tc>
          <w:tcPr>
            <w:tcW w:w="2060" w:type="dxa"/>
            <w:tcBorders>
              <w:tl2br w:val="nil"/>
              <w:tr2bl w:val="nil"/>
            </w:tcBorders>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经济学</w:t>
            </w:r>
            <w:r>
              <w:rPr>
                <w:rFonts w:hint="eastAsia" w:ascii="Times New Roman" w:hAnsi="Times New Roman"/>
                <w:kern w:val="0"/>
                <w:sz w:val="18"/>
                <w:szCs w:val="18"/>
                <w:lang w:val="en-US" w:eastAsia="zh-CN"/>
              </w:rPr>
              <w:t>原理</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14</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Z060304</w:t>
            </w:r>
          </w:p>
        </w:tc>
        <w:tc>
          <w:tcPr>
            <w:tcW w:w="2060" w:type="dxa"/>
            <w:tcBorders>
              <w:tl2br w:val="nil"/>
              <w:tr2bl w:val="nil"/>
            </w:tcBorders>
            <w:vAlign w:val="center"/>
          </w:tcPr>
          <w:p>
            <w:pPr>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统计学</w:t>
            </w:r>
            <w:r>
              <w:rPr>
                <w:rFonts w:hint="eastAsia" w:ascii="Times New Roman" w:hAnsi="Times New Roman"/>
                <w:kern w:val="0"/>
                <w:sz w:val="18"/>
                <w:szCs w:val="18"/>
                <w:lang w:val="en-US" w:eastAsia="zh-CN"/>
              </w:rPr>
              <w:t>基础</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65"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15</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Z060401</w:t>
            </w:r>
          </w:p>
        </w:tc>
        <w:tc>
          <w:tcPr>
            <w:tcW w:w="2060" w:type="dxa"/>
            <w:tcBorders>
              <w:tl2br w:val="nil"/>
              <w:tr2bl w:val="nil"/>
            </w:tcBorders>
            <w:vAlign w:val="center"/>
          </w:tcPr>
          <w:p>
            <w:pPr>
              <w:jc w:val="center"/>
              <w:rPr>
                <w:rFonts w:hint="eastAsia" w:ascii="Times New Roman" w:hAnsi="Times New Roman"/>
                <w:kern w:val="0"/>
                <w:sz w:val="18"/>
                <w:szCs w:val="18"/>
              </w:rPr>
            </w:pPr>
            <w:r>
              <w:rPr>
                <w:rFonts w:hint="eastAsia" w:ascii="Times New Roman" w:hAnsi="Times New Roman"/>
                <w:kern w:val="0"/>
                <w:sz w:val="18"/>
                <w:szCs w:val="18"/>
              </w:rPr>
              <w:t>管理学</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16</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Z060402</w:t>
            </w:r>
          </w:p>
        </w:tc>
        <w:tc>
          <w:tcPr>
            <w:tcW w:w="2060" w:type="dxa"/>
            <w:tcBorders>
              <w:tl2br w:val="nil"/>
              <w:tr2bl w:val="nil"/>
            </w:tcBorders>
            <w:vAlign w:val="center"/>
          </w:tcPr>
          <w:p>
            <w:pPr>
              <w:jc w:val="center"/>
              <w:rPr>
                <w:rFonts w:hint="eastAsia" w:ascii="Times New Roman" w:hAnsi="Times New Roman"/>
                <w:kern w:val="0"/>
                <w:sz w:val="18"/>
                <w:szCs w:val="18"/>
              </w:rPr>
            </w:pPr>
            <w:r>
              <w:rPr>
                <w:rFonts w:hint="eastAsia" w:ascii="Times New Roman" w:hAnsi="Times New Roman"/>
                <w:kern w:val="0"/>
                <w:sz w:val="18"/>
                <w:szCs w:val="18"/>
                <w:lang w:val="en-US" w:eastAsia="zh-CN"/>
              </w:rPr>
              <w:t>企业</w:t>
            </w:r>
            <w:r>
              <w:rPr>
                <w:rFonts w:hint="eastAsia" w:ascii="Times New Roman" w:hAnsi="Times New Roman"/>
                <w:kern w:val="0"/>
                <w:sz w:val="18"/>
                <w:szCs w:val="18"/>
              </w:rPr>
              <w:t>财务会计</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90</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74</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lang w:val="en-US" w:eastAsia="zh-CN"/>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17</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Z060403</w:t>
            </w:r>
          </w:p>
        </w:tc>
        <w:tc>
          <w:tcPr>
            <w:tcW w:w="2060"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成本</w:t>
            </w:r>
            <w:r>
              <w:rPr>
                <w:rFonts w:hint="eastAsia" w:ascii="Times New Roman" w:hAnsi="Times New Roman"/>
                <w:kern w:val="0"/>
                <w:sz w:val="18"/>
                <w:szCs w:val="18"/>
                <w:lang w:val="en-US" w:eastAsia="zh-CN"/>
              </w:rPr>
              <w:t>核算与管理</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18</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Z060404</w:t>
            </w:r>
          </w:p>
        </w:tc>
        <w:tc>
          <w:tcPr>
            <w:tcW w:w="2060"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会计</w:t>
            </w:r>
            <w:r>
              <w:rPr>
                <w:rFonts w:hint="eastAsia" w:ascii="Times New Roman" w:hAnsi="Times New Roman"/>
                <w:kern w:val="0"/>
                <w:sz w:val="18"/>
                <w:szCs w:val="18"/>
                <w:lang w:val="en-US" w:eastAsia="zh-CN"/>
              </w:rPr>
              <w:t>信息系统应用</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19</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Z060405</w:t>
            </w:r>
          </w:p>
        </w:tc>
        <w:tc>
          <w:tcPr>
            <w:tcW w:w="2060" w:type="dxa"/>
            <w:tcBorders>
              <w:tl2br w:val="nil"/>
              <w:tr2bl w:val="nil"/>
            </w:tcBorders>
            <w:vAlign w:val="center"/>
          </w:tcPr>
          <w:p>
            <w:pPr>
              <w:jc w:val="center"/>
              <w:rPr>
                <w:rFonts w:hint="eastAsia" w:ascii="Times New Roman" w:hAnsi="Times New Roman"/>
                <w:kern w:val="0"/>
                <w:sz w:val="18"/>
                <w:szCs w:val="18"/>
              </w:rPr>
            </w:pPr>
            <w:r>
              <w:rPr>
                <w:rFonts w:hint="eastAsia" w:ascii="Times New Roman" w:hAnsi="Times New Roman"/>
                <w:kern w:val="0"/>
                <w:sz w:val="18"/>
                <w:szCs w:val="18"/>
                <w:lang w:val="en-US" w:eastAsia="zh-CN"/>
              </w:rPr>
              <w:t>企业</w:t>
            </w:r>
            <w:r>
              <w:rPr>
                <w:rFonts w:hint="eastAsia" w:ascii="Times New Roman" w:hAnsi="Times New Roman"/>
                <w:kern w:val="0"/>
                <w:sz w:val="18"/>
                <w:szCs w:val="18"/>
              </w:rPr>
              <w:t>财务管理</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20</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Z060501</w:t>
            </w:r>
          </w:p>
        </w:tc>
        <w:tc>
          <w:tcPr>
            <w:tcW w:w="2060" w:type="dxa"/>
            <w:tcBorders>
              <w:tl2br w:val="nil"/>
              <w:tr2bl w:val="nil"/>
            </w:tcBorders>
            <w:vAlign w:val="center"/>
          </w:tcPr>
          <w:p>
            <w:pPr>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管理</w:t>
            </w:r>
            <w:r>
              <w:rPr>
                <w:rFonts w:hint="eastAsia" w:ascii="Times New Roman" w:hAnsi="Times New Roman"/>
                <w:kern w:val="0"/>
                <w:sz w:val="18"/>
                <w:szCs w:val="18"/>
              </w:rPr>
              <w:t>会计</w:t>
            </w:r>
            <w:r>
              <w:rPr>
                <w:rFonts w:hint="eastAsia" w:ascii="Times New Roman" w:hAnsi="Times New Roman"/>
                <w:kern w:val="0"/>
                <w:sz w:val="18"/>
                <w:szCs w:val="18"/>
                <w:lang w:val="en-US" w:eastAsia="zh-CN"/>
              </w:rPr>
              <w:t>实务</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21</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Z060502</w:t>
            </w:r>
          </w:p>
        </w:tc>
        <w:tc>
          <w:tcPr>
            <w:tcW w:w="2060"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企业财务分析</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38</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22</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Z060503</w:t>
            </w:r>
          </w:p>
        </w:tc>
        <w:tc>
          <w:tcPr>
            <w:tcW w:w="2060" w:type="dxa"/>
            <w:tcBorders>
              <w:tl2br w:val="nil"/>
              <w:tr2bl w:val="nil"/>
            </w:tcBorders>
            <w:vAlign w:val="center"/>
          </w:tcPr>
          <w:p>
            <w:pPr>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企业</w:t>
            </w:r>
            <w:r>
              <w:rPr>
                <w:rFonts w:hint="eastAsia" w:ascii="Times New Roman" w:hAnsi="Times New Roman"/>
                <w:kern w:val="0"/>
                <w:sz w:val="18"/>
                <w:szCs w:val="18"/>
                <w:lang w:val="en-US" w:eastAsia="zh-CN"/>
              </w:rPr>
              <w:t>内部控制</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val="0"/>
                <w:bCs w:val="0"/>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r>
              <w:rPr>
                <w:rFonts w:hint="eastAsia" w:ascii="Times New Roman" w:hAnsi="宋体"/>
                <w:sz w:val="16"/>
                <w:szCs w:val="16"/>
              </w:rPr>
              <w:t>职业能力拓展课</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23</w:t>
            </w:r>
          </w:p>
        </w:tc>
        <w:tc>
          <w:tcPr>
            <w:tcW w:w="723" w:type="dxa"/>
            <w:tcBorders>
              <w:tl2br w:val="nil"/>
              <w:tr2bl w:val="nil"/>
            </w:tcBorders>
            <w:vAlign w:val="center"/>
          </w:tcPr>
          <w:p>
            <w:pPr>
              <w:jc w:val="center"/>
              <w:rPr>
                <w:rFonts w:hint="default" w:ascii="Times New Roman" w:hAnsi="宋体" w:eastAsia="宋体"/>
                <w:sz w:val="18"/>
                <w:szCs w:val="18"/>
                <w:lang w:val="en-US" w:eastAsia="zh-CN"/>
              </w:rPr>
            </w:pPr>
            <w:r>
              <w:rPr>
                <w:rFonts w:hint="eastAsia" w:ascii="Times New Roman" w:hAnsi="宋体"/>
                <w:sz w:val="15"/>
                <w:szCs w:val="15"/>
                <w:lang w:val="en-US" w:eastAsia="zh-CN"/>
              </w:rPr>
              <w:t>T060105</w:t>
            </w:r>
          </w:p>
        </w:tc>
        <w:tc>
          <w:tcPr>
            <w:tcW w:w="2060"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职业生涯发展与规划</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36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24</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T060305</w:t>
            </w:r>
          </w:p>
        </w:tc>
        <w:tc>
          <w:tcPr>
            <w:tcW w:w="2060"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电子商务基础</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2</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83"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6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w:t>
            </w:r>
          </w:p>
        </w:tc>
        <w:tc>
          <w:tcPr>
            <w:tcW w:w="386"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86" w:type="dxa"/>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25</w:t>
            </w:r>
          </w:p>
        </w:tc>
        <w:tc>
          <w:tcPr>
            <w:tcW w:w="723"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T060406</w:t>
            </w:r>
          </w:p>
        </w:tc>
        <w:tc>
          <w:tcPr>
            <w:tcW w:w="2060"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创新创业基础</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2</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83"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6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36</w:t>
            </w: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w:t>
            </w:r>
          </w:p>
        </w:tc>
        <w:tc>
          <w:tcPr>
            <w:tcW w:w="386"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86" w:type="dxa"/>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6"/>
                <w:szCs w:val="16"/>
              </w:rPr>
            </w:pPr>
            <w:r>
              <w:rPr>
                <w:rFonts w:ascii="Times New Roman" w:hAnsi="宋体"/>
                <w:sz w:val="16"/>
                <w:szCs w:val="16"/>
              </w:rPr>
              <w:t>实</w:t>
            </w:r>
          </w:p>
          <w:p>
            <w:pPr>
              <w:spacing w:line="280" w:lineRule="exact"/>
              <w:jc w:val="center"/>
              <w:rPr>
                <w:rFonts w:ascii="Times New Roman" w:hAnsi="宋体"/>
                <w:sz w:val="16"/>
                <w:szCs w:val="16"/>
              </w:rPr>
            </w:pPr>
            <w:r>
              <w:rPr>
                <w:rFonts w:ascii="Times New Roman" w:hAnsi="宋体"/>
                <w:sz w:val="16"/>
                <w:szCs w:val="16"/>
              </w:rPr>
              <w:t>践</w:t>
            </w:r>
          </w:p>
          <w:p>
            <w:pPr>
              <w:spacing w:line="280" w:lineRule="exact"/>
              <w:jc w:val="center"/>
              <w:rPr>
                <w:rFonts w:ascii="Times New Roman" w:hAnsi="宋体"/>
                <w:sz w:val="16"/>
                <w:szCs w:val="16"/>
              </w:rPr>
            </w:pPr>
            <w:r>
              <w:rPr>
                <w:rFonts w:hint="eastAsia" w:ascii="Times New Roman" w:hAnsi="宋体"/>
                <w:sz w:val="16"/>
                <w:szCs w:val="16"/>
              </w:rPr>
              <w:t>教</w:t>
            </w:r>
          </w:p>
          <w:p>
            <w:pPr>
              <w:spacing w:line="280" w:lineRule="exact"/>
              <w:jc w:val="center"/>
              <w:rPr>
                <w:rFonts w:ascii="Times New Roman" w:hAnsi="宋体"/>
                <w:sz w:val="16"/>
                <w:szCs w:val="16"/>
              </w:rPr>
            </w:pPr>
            <w:r>
              <w:rPr>
                <w:rFonts w:hint="eastAsia" w:ascii="Times New Roman" w:hAnsi="宋体"/>
                <w:sz w:val="16"/>
                <w:szCs w:val="16"/>
              </w:rPr>
              <w:t>学</w:t>
            </w:r>
          </w:p>
          <w:p>
            <w:pPr>
              <w:spacing w:line="280" w:lineRule="exact"/>
              <w:jc w:val="center"/>
              <w:rPr>
                <w:rFonts w:ascii="Times New Roman" w:hAnsi="宋体"/>
                <w:sz w:val="18"/>
                <w:szCs w:val="18"/>
              </w:rPr>
            </w:pPr>
            <w:r>
              <w:rPr>
                <w:rFonts w:hint="eastAsia" w:ascii="Times New Roman" w:hAnsi="宋体"/>
                <w:sz w:val="18"/>
                <w:szCs w:val="18"/>
              </w:rPr>
              <w:t>环</w:t>
            </w:r>
          </w:p>
          <w:p>
            <w:pPr>
              <w:spacing w:line="280" w:lineRule="exact"/>
              <w:jc w:val="center"/>
              <w:rPr>
                <w:rFonts w:ascii="Times New Roman" w:hAnsi="宋体"/>
                <w:sz w:val="18"/>
                <w:szCs w:val="18"/>
              </w:rPr>
            </w:pPr>
            <w:r>
              <w:rPr>
                <w:rFonts w:hint="eastAsia" w:ascii="Times New Roman" w:hAnsi="宋体"/>
                <w:sz w:val="18"/>
                <w:szCs w:val="18"/>
              </w:rPr>
              <w:t>节</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26</w:t>
            </w:r>
          </w:p>
        </w:tc>
        <w:tc>
          <w:tcPr>
            <w:tcW w:w="72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5"/>
                <w:szCs w:val="15"/>
                <w:lang w:val="en-US" w:eastAsia="zh-CN"/>
              </w:rPr>
              <w:t>S060106</w:t>
            </w:r>
          </w:p>
        </w:tc>
        <w:tc>
          <w:tcPr>
            <w:tcW w:w="2060"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入学教育</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83"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6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w:t>
            </w:r>
          </w:p>
        </w:tc>
        <w:tc>
          <w:tcPr>
            <w:tcW w:w="386"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86" w:type="dxa"/>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jc w:val="center"/>
              <w:rPr>
                <w:rFonts w:ascii="Times New Roman" w:hAnsi="宋体"/>
                <w:sz w:val="18"/>
                <w:szCs w:val="18"/>
              </w:rPr>
            </w:pPr>
          </w:p>
        </w:tc>
        <w:tc>
          <w:tcPr>
            <w:tcW w:w="297"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rPr>
              <w:t>27</w:t>
            </w:r>
          </w:p>
        </w:tc>
        <w:tc>
          <w:tcPr>
            <w:tcW w:w="723" w:type="dxa"/>
            <w:tcBorders>
              <w:tl2br w:val="nil"/>
              <w:tr2bl w:val="nil"/>
            </w:tcBorders>
            <w:vAlign w:val="center"/>
          </w:tcPr>
          <w:p>
            <w:pPr>
              <w:jc w:val="center"/>
              <w:rPr>
                <w:rFonts w:ascii="Times New Roman" w:hAnsi="宋体" w:eastAsia="宋体" w:cs="Times New Roman"/>
                <w:kern w:val="2"/>
                <w:sz w:val="18"/>
                <w:szCs w:val="18"/>
                <w:lang w:val="en-US" w:eastAsia="zh-CN" w:bidi="ar-SA"/>
              </w:rPr>
            </w:pPr>
            <w:r>
              <w:rPr>
                <w:rFonts w:hint="eastAsia" w:ascii="Times New Roman" w:hAnsi="宋体"/>
                <w:sz w:val="15"/>
                <w:szCs w:val="15"/>
                <w:lang w:val="en-US" w:eastAsia="zh-CN"/>
              </w:rPr>
              <w:t>S060504</w:t>
            </w:r>
          </w:p>
        </w:tc>
        <w:tc>
          <w:tcPr>
            <w:tcW w:w="2060"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毕业教育</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83"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6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18</w:t>
            </w: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w:t>
            </w:r>
          </w:p>
        </w:tc>
        <w:tc>
          <w:tcPr>
            <w:tcW w:w="386"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86" w:type="dxa"/>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jc w:val="center"/>
              <w:rPr>
                <w:rFonts w:ascii="Times New Roman" w:hAnsi="宋体"/>
                <w:sz w:val="18"/>
                <w:szCs w:val="18"/>
              </w:rPr>
            </w:pPr>
          </w:p>
        </w:tc>
        <w:tc>
          <w:tcPr>
            <w:tcW w:w="297"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lang w:val="en-US" w:eastAsia="zh-CN"/>
              </w:rPr>
              <w:t>28</w:t>
            </w:r>
          </w:p>
        </w:tc>
        <w:tc>
          <w:tcPr>
            <w:tcW w:w="72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5"/>
                <w:szCs w:val="15"/>
                <w:lang w:val="en-US" w:eastAsia="zh-CN"/>
              </w:rPr>
              <w:t>S060505</w:t>
            </w:r>
          </w:p>
        </w:tc>
        <w:tc>
          <w:tcPr>
            <w:tcW w:w="2060"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毕业实习</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9</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160</w:t>
            </w:r>
          </w:p>
        </w:tc>
        <w:tc>
          <w:tcPr>
            <w:tcW w:w="383"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65"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160</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160</w:t>
            </w: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4"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160</w:t>
            </w:r>
          </w:p>
        </w:tc>
        <w:tc>
          <w:tcPr>
            <w:tcW w:w="375" w:type="dxa"/>
            <w:tcBorders>
              <w:tl2br w:val="nil"/>
              <w:tr2bl w:val="nil"/>
            </w:tcBorders>
            <w:vAlign w:val="center"/>
          </w:tcPr>
          <w:p>
            <w:pPr>
              <w:jc w:val="center"/>
              <w:rPr>
                <w:rFonts w:hint="eastAsia" w:ascii="Times New Roman" w:hAnsi="Times New Roman"/>
                <w:kern w:val="0"/>
                <w:sz w:val="18"/>
                <w:szCs w:val="18"/>
                <w:lang w:val="en-US" w:eastAsia="zh-CN"/>
              </w:rPr>
            </w:pPr>
            <w:r>
              <w:rPr>
                <w:rFonts w:hint="eastAsia" w:ascii="Times New Roman" w:hAnsi="Times New Roman"/>
                <w:kern w:val="0"/>
                <w:sz w:val="18"/>
                <w:szCs w:val="18"/>
              </w:rPr>
              <w:t>√</w:t>
            </w:r>
          </w:p>
        </w:tc>
        <w:tc>
          <w:tcPr>
            <w:tcW w:w="386" w:type="dxa"/>
            <w:tcBorders>
              <w:tl2br w:val="nil"/>
              <w:tr2bl w:val="nil"/>
            </w:tcBorders>
            <w:vAlign w:val="center"/>
          </w:tcPr>
          <w:p>
            <w:pPr>
              <w:jc w:val="center"/>
              <w:rPr>
                <w:rFonts w:hint="eastAsia" w:ascii="Times New Roman" w:hAnsi="Times New Roman"/>
                <w:kern w:val="0"/>
                <w:sz w:val="18"/>
                <w:szCs w:val="18"/>
                <w:lang w:val="en-US" w:eastAsia="zh-CN"/>
              </w:rPr>
            </w:pPr>
          </w:p>
        </w:tc>
        <w:tc>
          <w:tcPr>
            <w:tcW w:w="386" w:type="dxa"/>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6" w:hRule="exact"/>
        </w:trPr>
        <w:tc>
          <w:tcPr>
            <w:tcW w:w="3426" w:type="dxa"/>
            <w:gridSpan w:val="4"/>
            <w:tcBorders>
              <w:tl2br w:val="nil"/>
              <w:tr2bl w:val="nil"/>
            </w:tcBorders>
            <w:vAlign w:val="center"/>
          </w:tcPr>
          <w:p>
            <w:pPr>
              <w:jc w:val="center"/>
              <w:rPr>
                <w:rFonts w:ascii="Times New Roman" w:hAnsi="宋体"/>
                <w:color w:val="auto"/>
                <w:sz w:val="18"/>
                <w:szCs w:val="18"/>
              </w:rPr>
            </w:pPr>
            <w:r>
              <w:rPr>
                <w:rFonts w:hint="eastAsia" w:ascii="Times New Roman" w:hAnsi="宋体"/>
                <w:color w:val="auto"/>
                <w:sz w:val="18"/>
                <w:szCs w:val="18"/>
              </w:rPr>
              <w:t xml:space="preserve">  </w:t>
            </w:r>
            <w:r>
              <w:rPr>
                <w:rFonts w:ascii="Times New Roman" w:hAnsi="宋体"/>
                <w:color w:val="auto"/>
                <w:sz w:val="18"/>
                <w:szCs w:val="18"/>
              </w:rPr>
              <w:t>合  计</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1672</w:t>
            </w:r>
          </w:p>
        </w:tc>
        <w:tc>
          <w:tcPr>
            <w:tcW w:w="38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1300</w:t>
            </w:r>
          </w:p>
        </w:tc>
        <w:tc>
          <w:tcPr>
            <w:tcW w:w="36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372</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180</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288</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324</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288</w:t>
            </w:r>
          </w:p>
        </w:tc>
        <w:tc>
          <w:tcPr>
            <w:tcW w:w="375"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396</w:t>
            </w:r>
          </w:p>
        </w:tc>
        <w:tc>
          <w:tcPr>
            <w:tcW w:w="375"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376</w:t>
            </w:r>
          </w:p>
        </w:tc>
        <w:tc>
          <w:tcPr>
            <w:tcW w:w="1147" w:type="dxa"/>
            <w:gridSpan w:val="3"/>
            <w:vMerge w:val="restart"/>
            <w:tcBorders>
              <w:tl2br w:val="nil"/>
              <w:tr2bl w:val="nil"/>
            </w:tcBorders>
            <w:vAlign w:val="center"/>
          </w:tcPr>
          <w:p>
            <w:pPr>
              <w:snapToGrid w:val="0"/>
              <w:jc w:val="center"/>
              <w:rPr>
                <w:rFonts w:ascii="Times New Roman" w:hAnsi="宋体"/>
                <w:b/>
                <w:bCs/>
                <w:sz w:val="18"/>
                <w:szCs w:val="18"/>
              </w:rPr>
            </w:pPr>
          </w:p>
          <w:p>
            <w:pPr>
              <w:snapToGrid w:val="0"/>
              <w:jc w:val="center"/>
              <w:rPr>
                <w:rFonts w:ascii="Times New Roman" w:hAnsi="宋体"/>
                <w:b/>
                <w:bCs/>
                <w:sz w:val="18"/>
                <w:szCs w:val="18"/>
              </w:rPr>
            </w:pPr>
          </w:p>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pPr>
              <w:jc w:val="center"/>
              <w:rPr>
                <w:rFonts w:ascii="Times New Roman" w:hAnsi="宋体"/>
                <w:b/>
                <w:bCs/>
                <w:color w:val="auto"/>
                <w:sz w:val="18"/>
                <w:szCs w:val="18"/>
              </w:rPr>
            </w:pPr>
            <w:r>
              <w:rPr>
                <w:rFonts w:ascii="Times New Roman" w:hAnsi="宋体"/>
                <w:b/>
                <w:bCs/>
                <w:color w:val="auto"/>
                <w:sz w:val="18"/>
                <w:szCs w:val="18"/>
              </w:rPr>
              <w:t>百分比（%）</w:t>
            </w:r>
          </w:p>
        </w:tc>
        <w:tc>
          <w:tcPr>
            <w:tcW w:w="383" w:type="dxa"/>
            <w:tcBorders>
              <w:tl2br w:val="nil"/>
              <w:tr2bl w:val="nil"/>
            </w:tcBorders>
            <w:vAlign w:val="center"/>
          </w:tcPr>
          <w:p>
            <w:pPr>
              <w:jc w:val="center"/>
              <w:rPr>
                <w:rFonts w:hint="default" w:ascii="Times New Roman" w:hAnsi="宋体" w:eastAsia="宋体"/>
                <w:b/>
                <w:bCs/>
                <w:color w:val="auto"/>
                <w:sz w:val="18"/>
                <w:szCs w:val="18"/>
                <w:lang w:val="en-US" w:eastAsia="zh-CN"/>
              </w:rPr>
            </w:pPr>
            <w:r>
              <w:rPr>
                <w:rFonts w:hint="eastAsia" w:ascii="Times New Roman" w:hAnsi="宋体"/>
                <w:b/>
                <w:bCs/>
                <w:color w:val="auto"/>
                <w:sz w:val="18"/>
                <w:szCs w:val="18"/>
                <w:lang w:val="en-US" w:eastAsia="zh-CN"/>
              </w:rPr>
              <w:t>77.7</w:t>
            </w:r>
          </w:p>
        </w:tc>
        <w:tc>
          <w:tcPr>
            <w:tcW w:w="365" w:type="dxa"/>
            <w:tcBorders>
              <w:tl2br w:val="nil"/>
              <w:tr2bl w:val="nil"/>
            </w:tcBorders>
            <w:vAlign w:val="center"/>
          </w:tcPr>
          <w:p>
            <w:pPr>
              <w:jc w:val="center"/>
              <w:rPr>
                <w:rFonts w:hint="default" w:ascii="Times New Roman" w:hAnsi="宋体" w:eastAsia="宋体"/>
                <w:b/>
                <w:bCs/>
                <w:color w:val="auto"/>
                <w:sz w:val="18"/>
                <w:szCs w:val="18"/>
                <w:lang w:val="en-US" w:eastAsia="zh-CN"/>
              </w:rPr>
            </w:pPr>
            <w:r>
              <w:rPr>
                <w:rFonts w:hint="eastAsia" w:ascii="Times New Roman" w:hAnsi="宋体"/>
                <w:b/>
                <w:bCs/>
                <w:color w:val="auto"/>
                <w:sz w:val="18"/>
                <w:szCs w:val="18"/>
                <w:lang w:val="en-US" w:eastAsia="zh-CN"/>
              </w:rPr>
              <w:t>22.8%</w:t>
            </w:r>
          </w:p>
          <w:p>
            <w:pPr>
              <w:jc w:val="center"/>
              <w:rPr>
                <w:rFonts w:hint="default" w:ascii="Times New Roman" w:hAnsi="宋体" w:eastAsia="宋体"/>
                <w:b/>
                <w:bCs/>
                <w:color w:val="auto"/>
                <w:sz w:val="18"/>
                <w:szCs w:val="18"/>
                <w:lang w:val="en-US" w:eastAsia="zh-CN"/>
              </w:rPr>
            </w:pPr>
            <w:r>
              <w:rPr>
                <w:rFonts w:hint="eastAsia" w:ascii="Times New Roman" w:hAnsi="宋体"/>
                <w:b/>
                <w:bCs/>
                <w:color w:val="auto"/>
                <w:sz w:val="18"/>
                <w:szCs w:val="18"/>
                <w:lang w:val="en-US" w:eastAsia="zh-CN"/>
              </w:rPr>
              <w:t>12.9%</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10.7</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17.2</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19.4</w:t>
            </w:r>
          </w:p>
        </w:tc>
        <w:tc>
          <w:tcPr>
            <w:tcW w:w="374"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17.2</w:t>
            </w:r>
          </w:p>
        </w:tc>
        <w:tc>
          <w:tcPr>
            <w:tcW w:w="375"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23.7</w:t>
            </w:r>
          </w:p>
        </w:tc>
        <w:tc>
          <w:tcPr>
            <w:tcW w:w="375" w:type="dxa"/>
            <w:tcBorders>
              <w:tl2br w:val="nil"/>
              <w:tr2bl w:val="nil"/>
            </w:tcBorders>
            <w:vAlign w:val="center"/>
          </w:tcPr>
          <w:p>
            <w:pPr>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22.5</w:t>
            </w:r>
          </w:p>
        </w:tc>
        <w:tc>
          <w:tcPr>
            <w:tcW w:w="1147" w:type="dxa"/>
            <w:gridSpan w:val="3"/>
            <w:vMerge w:val="continue"/>
            <w:tcBorders>
              <w:tl2br w:val="nil"/>
              <w:tr2bl w:val="nil"/>
            </w:tcBorders>
            <w:vAlign w:val="center"/>
          </w:tcPr>
          <w:p>
            <w:pPr>
              <w:jc w:val="center"/>
              <w:rPr>
                <w:rFonts w:ascii="Times New Roman" w:hAnsi="宋体"/>
                <w:b/>
                <w:bCs/>
                <w:sz w:val="18"/>
                <w:szCs w:val="18"/>
              </w:rPr>
            </w:pPr>
          </w:p>
        </w:tc>
      </w:tr>
      <w:bookmarkEnd w:id="0"/>
    </w:tbl>
    <w:p>
      <w:pPr>
        <w:jc w:val="left"/>
        <w:rPr>
          <w:rFonts w:hint="eastAsia" w:ascii="宋体" w:hAnsi="宋体" w:cs="宋体"/>
          <w:b/>
          <w:bCs/>
          <w:sz w:val="24"/>
        </w:rPr>
      </w:pPr>
    </w:p>
    <w:p>
      <w:pPr>
        <w:spacing w:line="360" w:lineRule="auto"/>
        <w:jc w:val="left"/>
        <w:rPr>
          <w:rFonts w:hint="default" w:ascii="宋体" w:hAnsi="宋体" w:eastAsia="宋体" w:cs="宋体"/>
          <w:b/>
          <w:bCs/>
          <w:color w:val="auto"/>
          <w:sz w:val="28"/>
          <w:szCs w:val="28"/>
          <w:lang w:val="en-US" w:eastAsia="zh-CN"/>
        </w:rPr>
      </w:pPr>
      <w:bookmarkStart w:id="2" w:name="_Toc360044724"/>
      <w:r>
        <w:rPr>
          <w:rFonts w:hint="eastAsia" w:ascii="宋体" w:hAnsi="宋体" w:cs="宋体"/>
          <w:b/>
          <w:bCs/>
          <w:color w:val="auto"/>
          <w:sz w:val="28"/>
          <w:szCs w:val="28"/>
        </w:rPr>
        <w:t>九、教学</w:t>
      </w:r>
      <w:r>
        <w:rPr>
          <w:rFonts w:hint="eastAsia" w:ascii="宋体" w:hAnsi="宋体" w:cs="宋体"/>
          <w:b/>
          <w:bCs/>
          <w:color w:val="auto"/>
          <w:sz w:val="28"/>
          <w:szCs w:val="28"/>
          <w:lang w:val="en-US" w:eastAsia="zh-CN"/>
        </w:rPr>
        <w:t>实施保障</w:t>
      </w:r>
      <w:bookmarkStart w:id="7" w:name="_GoBack"/>
      <w:bookmarkEnd w:id="7"/>
    </w:p>
    <w:bookmarkEnd w:id="2"/>
    <w:p>
      <w:pPr>
        <w:pStyle w:val="2"/>
        <w:spacing w:before="0" w:after="0" w:line="240" w:lineRule="auto"/>
        <w:rPr>
          <w:rFonts w:hint="default" w:ascii="宋体" w:hAnsi="宋体" w:eastAsia="宋体" w:cs="宋体"/>
          <w:b/>
          <w:bCs/>
          <w:sz w:val="24"/>
          <w:lang w:val="en-US" w:eastAsia="zh-CN"/>
        </w:rPr>
      </w:pPr>
      <w:bookmarkStart w:id="3" w:name="_Toc421781742"/>
      <w:r>
        <w:rPr>
          <w:rFonts w:hint="eastAsia" w:ascii="宋体" w:hAnsi="宋体" w:eastAsia="宋体" w:cs="宋体"/>
          <w:b/>
          <w:bCs/>
          <w:sz w:val="24"/>
        </w:rPr>
        <w:t>（一）</w:t>
      </w:r>
      <w:bookmarkEnd w:id="3"/>
      <w:r>
        <w:rPr>
          <w:rFonts w:hint="eastAsia" w:ascii="宋体" w:hAnsi="宋体" w:eastAsia="宋体" w:cs="宋体"/>
          <w:b/>
          <w:bCs/>
          <w:sz w:val="24"/>
          <w:lang w:val="en-US" w:eastAsia="zh-CN"/>
        </w:rPr>
        <w:t>师资队伍</w:t>
      </w:r>
    </w:p>
    <w:p>
      <w:pPr>
        <w:spacing w:line="360" w:lineRule="auto"/>
        <w:ind w:firstLine="480" w:firstLineChars="200"/>
        <w:jc w:val="center"/>
        <w:rPr>
          <w:rFonts w:hint="eastAsia" w:ascii="宋体" w:hAnsi="宋体" w:cs="宋体"/>
          <w:sz w:val="24"/>
        </w:rPr>
      </w:pPr>
      <w:bookmarkStart w:id="4" w:name="_Toc360044725"/>
      <w:bookmarkStart w:id="5" w:name="_Toc336496343"/>
      <w:bookmarkStart w:id="6" w:name="_Toc335923309"/>
      <w:r>
        <w:rPr>
          <w:rFonts w:hint="eastAsia" w:ascii="宋体" w:hAnsi="宋体" w:cs="宋体"/>
          <w:sz w:val="24"/>
          <w:lang w:val="en-US" w:eastAsia="zh-CN"/>
        </w:rPr>
        <w:t>师资包括主讲教师、辅导教师和管理人员，全部课程由学校专任教师担任。</w:t>
      </w:r>
      <w:r>
        <w:rPr>
          <w:rFonts w:hint="eastAsia" w:ascii="宋体" w:hAnsi="宋体"/>
          <w:color w:val="000000"/>
          <w:sz w:val="24"/>
        </w:rPr>
        <w:t>双师型素质教师占专业教师</w:t>
      </w:r>
      <w:r>
        <w:rPr>
          <w:rFonts w:hint="eastAsia" w:ascii="宋体" w:hAnsi="宋体"/>
          <w:color w:val="000000"/>
          <w:sz w:val="24"/>
          <w:lang w:val="en-US" w:eastAsia="zh-CN"/>
        </w:rPr>
        <w:t>比例</w:t>
      </w:r>
      <w:r>
        <w:rPr>
          <w:rFonts w:hint="eastAsia" w:ascii="宋体" w:hAnsi="宋体"/>
          <w:color w:val="000000"/>
          <w:sz w:val="24"/>
        </w:rPr>
        <w:t>高于60%，专任教师队伍职称、年龄结构合理。</w:t>
      </w:r>
      <w:r>
        <w:rPr>
          <w:rFonts w:hint="eastAsia" w:ascii="宋体" w:hAnsi="宋体" w:cs="宋体"/>
          <w:sz w:val="24"/>
        </w:rPr>
        <w:t>表 1 教学团队配置</w:t>
      </w:r>
      <w:r>
        <w:rPr>
          <w:rFonts w:hint="eastAsia" w:ascii="宋体" w:hAnsi="宋体" w:cs="宋体"/>
          <w:sz w:val="24"/>
          <w:lang w:val="en-US" w:eastAsia="zh-CN"/>
        </w:rPr>
        <w:t>及</w:t>
      </w:r>
      <w:r>
        <w:rPr>
          <w:rFonts w:hint="eastAsia" w:ascii="宋体" w:hAnsi="宋体" w:cs="宋体"/>
          <w:sz w:val="24"/>
        </w:rPr>
        <w:t>要求</w:t>
      </w:r>
      <w:bookmarkEnd w:id="4"/>
      <w:bookmarkEnd w:id="5"/>
      <w:bookmarkEnd w:id="6"/>
    </w:p>
    <w:tbl>
      <w:tblPr>
        <w:tblStyle w:val="8"/>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58"/>
        <w:gridCol w:w="827"/>
        <w:gridCol w:w="283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pacing w:line="240" w:lineRule="auto"/>
              <w:jc w:val="left"/>
              <w:rPr>
                <w:rFonts w:hint="eastAsia" w:ascii="宋体" w:hAnsi="宋体" w:cs="宋体"/>
                <w:sz w:val="21"/>
                <w:szCs w:val="21"/>
              </w:rPr>
            </w:pPr>
            <w:r>
              <w:rPr>
                <w:rFonts w:hint="eastAsia" w:ascii="宋体" w:hAnsi="宋体" w:cs="宋体"/>
                <w:sz w:val="21"/>
                <w:szCs w:val="21"/>
              </w:rPr>
              <w:t>教师</w:t>
            </w:r>
          </w:p>
          <w:p>
            <w:pPr>
              <w:spacing w:line="240" w:lineRule="auto"/>
              <w:jc w:val="left"/>
              <w:rPr>
                <w:rFonts w:hint="eastAsia" w:ascii="宋体" w:hAnsi="宋体" w:cs="宋体"/>
                <w:sz w:val="21"/>
                <w:szCs w:val="21"/>
              </w:rPr>
            </w:pPr>
            <w:r>
              <w:rPr>
                <w:rFonts w:hint="eastAsia" w:ascii="宋体" w:hAnsi="宋体" w:cs="宋体"/>
                <w:sz w:val="21"/>
                <w:szCs w:val="21"/>
              </w:rPr>
              <w:t>来源</w:t>
            </w:r>
          </w:p>
        </w:tc>
        <w:tc>
          <w:tcPr>
            <w:tcW w:w="1258" w:type="dxa"/>
            <w:noWrap w:val="0"/>
            <w:vAlign w:val="center"/>
          </w:tcPr>
          <w:p>
            <w:pPr>
              <w:spacing w:line="24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师资</w:t>
            </w:r>
          </w:p>
          <w:p>
            <w:pPr>
              <w:spacing w:line="24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队伍</w:t>
            </w:r>
          </w:p>
        </w:tc>
        <w:tc>
          <w:tcPr>
            <w:tcW w:w="827" w:type="dxa"/>
            <w:noWrap w:val="0"/>
            <w:vAlign w:val="center"/>
          </w:tcPr>
          <w:p>
            <w:pPr>
              <w:spacing w:line="240" w:lineRule="auto"/>
              <w:jc w:val="left"/>
              <w:rPr>
                <w:rFonts w:hint="eastAsia" w:ascii="宋体" w:hAnsi="宋体" w:cs="宋体"/>
                <w:sz w:val="21"/>
                <w:szCs w:val="21"/>
              </w:rPr>
            </w:pPr>
            <w:r>
              <w:rPr>
                <w:rFonts w:hint="eastAsia" w:ascii="宋体" w:hAnsi="宋体" w:cs="宋体"/>
                <w:sz w:val="21"/>
                <w:szCs w:val="21"/>
              </w:rPr>
              <w:t>数量</w:t>
            </w:r>
          </w:p>
        </w:tc>
        <w:tc>
          <w:tcPr>
            <w:tcW w:w="2831" w:type="dxa"/>
            <w:noWrap w:val="0"/>
            <w:vAlign w:val="center"/>
          </w:tcPr>
          <w:p>
            <w:pPr>
              <w:spacing w:line="240" w:lineRule="auto"/>
              <w:ind w:firstLine="420" w:firstLineChars="200"/>
              <w:jc w:val="left"/>
              <w:rPr>
                <w:rFonts w:hint="eastAsia" w:ascii="宋体" w:hAnsi="宋体" w:cs="宋体"/>
                <w:sz w:val="21"/>
                <w:szCs w:val="21"/>
                <w:lang w:eastAsia="zh-CN"/>
              </w:rPr>
            </w:pPr>
            <w:r>
              <w:rPr>
                <w:rFonts w:hint="eastAsia" w:ascii="宋体" w:hAnsi="宋体" w:cs="宋体"/>
                <w:sz w:val="21"/>
                <w:szCs w:val="21"/>
                <w:lang w:val="en-US" w:eastAsia="zh-CN"/>
              </w:rPr>
              <w:t>职责</w:t>
            </w:r>
          </w:p>
        </w:tc>
        <w:tc>
          <w:tcPr>
            <w:tcW w:w="3140" w:type="dxa"/>
            <w:noWrap w:val="0"/>
            <w:vAlign w:val="center"/>
          </w:tcPr>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noWrap w:val="0"/>
            <w:vAlign w:val="center"/>
          </w:tcPr>
          <w:p>
            <w:pPr>
              <w:spacing w:line="240" w:lineRule="auto"/>
              <w:jc w:val="left"/>
              <w:rPr>
                <w:rFonts w:hint="eastAsia" w:ascii="宋体" w:hAnsi="宋体" w:cs="宋体"/>
                <w:sz w:val="21"/>
                <w:szCs w:val="21"/>
              </w:rPr>
            </w:pPr>
            <w:r>
              <w:rPr>
                <w:rFonts w:hint="eastAsia" w:ascii="宋体" w:hAnsi="宋体" w:cs="宋体"/>
                <w:sz w:val="21"/>
                <w:szCs w:val="21"/>
              </w:rPr>
              <w:t>校内</w:t>
            </w:r>
          </w:p>
          <w:p>
            <w:pPr>
              <w:spacing w:line="240" w:lineRule="auto"/>
              <w:ind w:firstLine="420" w:firstLineChars="200"/>
              <w:jc w:val="left"/>
              <w:rPr>
                <w:rFonts w:hint="eastAsia" w:ascii="宋体" w:hAnsi="宋体" w:cs="宋体"/>
                <w:sz w:val="21"/>
                <w:szCs w:val="21"/>
              </w:rPr>
            </w:pPr>
          </w:p>
          <w:p>
            <w:pPr>
              <w:spacing w:line="240" w:lineRule="auto"/>
              <w:jc w:val="left"/>
              <w:rPr>
                <w:rFonts w:hint="eastAsia" w:ascii="宋体" w:hAnsi="宋体" w:cs="宋体"/>
                <w:sz w:val="21"/>
                <w:szCs w:val="21"/>
              </w:rPr>
            </w:pPr>
            <w:r>
              <w:rPr>
                <w:rFonts w:hint="eastAsia" w:ascii="宋体" w:hAnsi="宋体" w:cs="宋体"/>
                <w:sz w:val="21"/>
                <w:szCs w:val="21"/>
              </w:rPr>
              <w:t>专任</w:t>
            </w:r>
          </w:p>
        </w:tc>
        <w:tc>
          <w:tcPr>
            <w:tcW w:w="1258" w:type="dxa"/>
            <w:noWrap w:val="0"/>
            <w:vAlign w:val="center"/>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主讲教师</w:t>
            </w:r>
          </w:p>
        </w:tc>
        <w:tc>
          <w:tcPr>
            <w:tcW w:w="827" w:type="dxa"/>
            <w:noWrap w:val="0"/>
            <w:vAlign w:val="center"/>
          </w:tcPr>
          <w:p>
            <w:pPr>
              <w:spacing w:line="240" w:lineRule="auto"/>
              <w:jc w:val="left"/>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2831" w:type="dxa"/>
            <w:noWrap w:val="0"/>
            <w:vAlign w:val="top"/>
          </w:tcPr>
          <w:p>
            <w:pPr>
              <w:spacing w:line="240" w:lineRule="auto"/>
              <w:jc w:val="left"/>
              <w:rPr>
                <w:rFonts w:hint="eastAsia" w:ascii="宋体" w:hAnsi="宋体" w:cs="宋体"/>
                <w:sz w:val="21"/>
                <w:szCs w:val="21"/>
                <w:lang w:val="en-US" w:eastAsia="zh-CN"/>
              </w:rPr>
            </w:pPr>
          </w:p>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独立承担课程教学任务</w:t>
            </w:r>
          </w:p>
        </w:tc>
        <w:tc>
          <w:tcPr>
            <w:tcW w:w="3140" w:type="dxa"/>
            <w:noWrap w:val="0"/>
            <w:vAlign w:val="top"/>
          </w:tcPr>
          <w:p>
            <w:pPr>
              <w:spacing w:line="240" w:lineRule="auto"/>
              <w:jc w:val="left"/>
              <w:rPr>
                <w:rFonts w:hint="default" w:ascii="宋体" w:hAnsi="宋体" w:cs="宋体"/>
                <w:sz w:val="21"/>
                <w:szCs w:val="21"/>
                <w:lang w:val="en-US"/>
              </w:rPr>
            </w:pPr>
            <w:r>
              <w:rPr>
                <w:rFonts w:hint="eastAsia" w:ascii="宋体" w:hAnsi="宋体" w:cs="宋体"/>
                <w:sz w:val="21"/>
                <w:szCs w:val="21"/>
                <w:lang w:val="en-US" w:eastAsia="zh-CN"/>
              </w:rPr>
              <w:t>主讲教师与在籍学生比例不低于1：200，其中副高级职称比例不低于30%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spacing w:line="240" w:lineRule="auto"/>
              <w:ind w:firstLine="420" w:firstLineChars="200"/>
              <w:jc w:val="left"/>
              <w:rPr>
                <w:rFonts w:hint="eastAsia" w:ascii="宋体" w:hAnsi="宋体" w:cs="宋体"/>
                <w:sz w:val="21"/>
                <w:szCs w:val="21"/>
              </w:rPr>
            </w:pPr>
          </w:p>
        </w:tc>
        <w:tc>
          <w:tcPr>
            <w:tcW w:w="1258" w:type="dxa"/>
            <w:noWrap w:val="0"/>
            <w:vAlign w:val="center"/>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辅导教师</w:t>
            </w:r>
          </w:p>
        </w:tc>
        <w:tc>
          <w:tcPr>
            <w:tcW w:w="827" w:type="dxa"/>
            <w:noWrap w:val="0"/>
            <w:vAlign w:val="center"/>
          </w:tcPr>
          <w:p>
            <w:pPr>
              <w:spacing w:line="240" w:lineRule="auto"/>
              <w:jc w:val="left"/>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2831" w:type="dxa"/>
            <w:noWrap w:val="0"/>
            <w:vAlign w:val="top"/>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承担课程辅导答疑、批改作业、辅导实验实训、组织课堂讨论</w:t>
            </w:r>
          </w:p>
        </w:tc>
        <w:tc>
          <w:tcPr>
            <w:tcW w:w="3140" w:type="dxa"/>
            <w:noWrap w:val="0"/>
            <w:vAlign w:val="top"/>
          </w:tcPr>
          <w:p>
            <w:pPr>
              <w:spacing w:line="240" w:lineRule="auto"/>
              <w:jc w:val="left"/>
              <w:rPr>
                <w:rFonts w:hint="eastAsia" w:ascii="宋体" w:hAnsi="宋体" w:cs="宋体"/>
                <w:sz w:val="21"/>
                <w:szCs w:val="21"/>
              </w:rPr>
            </w:pPr>
            <w:r>
              <w:rPr>
                <w:rFonts w:hint="eastAsia" w:ascii="宋体" w:hAnsi="宋体" w:cs="宋体"/>
                <w:sz w:val="21"/>
                <w:szCs w:val="21"/>
                <w:lang w:val="en-US" w:eastAsia="zh-CN"/>
              </w:rPr>
              <w:t>辅导教师数量与在籍学生比例不低于1:100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spacing w:line="240" w:lineRule="auto"/>
              <w:ind w:firstLine="420" w:firstLineChars="200"/>
              <w:jc w:val="left"/>
              <w:rPr>
                <w:rFonts w:hint="eastAsia" w:ascii="宋体" w:hAnsi="宋体" w:cs="宋体"/>
                <w:sz w:val="21"/>
                <w:szCs w:val="21"/>
              </w:rPr>
            </w:pPr>
          </w:p>
        </w:tc>
        <w:tc>
          <w:tcPr>
            <w:tcW w:w="1258" w:type="dxa"/>
            <w:noWrap w:val="0"/>
            <w:vAlign w:val="center"/>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管理人员</w:t>
            </w:r>
          </w:p>
        </w:tc>
        <w:tc>
          <w:tcPr>
            <w:tcW w:w="827" w:type="dxa"/>
            <w:noWrap w:val="0"/>
            <w:vAlign w:val="center"/>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7</w:t>
            </w:r>
          </w:p>
        </w:tc>
        <w:tc>
          <w:tcPr>
            <w:tcW w:w="2831" w:type="dxa"/>
            <w:noWrap w:val="0"/>
            <w:vAlign w:val="top"/>
          </w:tcPr>
          <w:p>
            <w:pPr>
              <w:spacing w:line="24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行政管理、班主任及网络技术人员</w:t>
            </w:r>
          </w:p>
        </w:tc>
        <w:tc>
          <w:tcPr>
            <w:tcW w:w="3140" w:type="dxa"/>
            <w:noWrap w:val="0"/>
            <w:vAlign w:val="top"/>
          </w:tcPr>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lang w:val="en-US" w:eastAsia="zh-CN"/>
              </w:rPr>
              <w:t>管理人员与在籍生比例不低于1：200</w:t>
            </w:r>
          </w:p>
        </w:tc>
      </w:tr>
    </w:tbl>
    <w:p>
      <w:pPr>
        <w:numPr>
          <w:ilvl w:val="0"/>
          <w:numId w:val="0"/>
        </w:numPr>
        <w:spacing w:line="440" w:lineRule="exact"/>
        <w:ind w:leftChars="14"/>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教学及实验实训条件</w:t>
      </w:r>
    </w:p>
    <w:p>
      <w:pPr>
        <w:numPr>
          <w:ilvl w:val="0"/>
          <w:numId w:val="0"/>
        </w:numPr>
        <w:spacing w:line="440" w:lineRule="exact"/>
        <w:ind w:leftChars="14" w:firstLine="480" w:firstLineChars="200"/>
        <w:jc w:val="left"/>
        <w:rPr>
          <w:rFonts w:hint="default" w:ascii="宋体" w:hAnsi="宋体" w:eastAsia="宋体"/>
          <w:color w:val="000000"/>
          <w:sz w:val="24"/>
          <w:lang w:val="en-US" w:eastAsia="zh-CN"/>
        </w:rPr>
      </w:pPr>
      <w:r>
        <w:rPr>
          <w:rFonts w:hint="eastAsia" w:ascii="宋体" w:hAnsi="宋体" w:cs="宋体"/>
          <w:sz w:val="24"/>
          <w:lang w:val="en-US" w:eastAsia="zh-CN"/>
        </w:rPr>
        <w:t>1.</w:t>
      </w:r>
      <w:r>
        <w:rPr>
          <w:rFonts w:hint="eastAsia" w:ascii="宋体" w:hAnsi="宋体"/>
          <w:color w:val="000000"/>
          <w:sz w:val="24"/>
          <w:lang w:val="en-US" w:eastAsia="zh-CN"/>
        </w:rPr>
        <w:t>具有</w:t>
      </w:r>
      <w:r>
        <w:rPr>
          <w:rFonts w:hint="eastAsia" w:ascii="宋体" w:hAnsi="宋体"/>
          <w:color w:val="000000"/>
          <w:sz w:val="24"/>
        </w:rPr>
        <w:t>能够满足</w:t>
      </w:r>
      <w:r>
        <w:rPr>
          <w:rFonts w:hint="eastAsia" w:ascii="宋体" w:hAnsi="宋体"/>
          <w:color w:val="000000"/>
          <w:sz w:val="24"/>
          <w:lang w:val="en-US" w:eastAsia="zh-CN"/>
        </w:rPr>
        <w:t>学历继续教育</w:t>
      </w:r>
      <w:r>
        <w:rPr>
          <w:rFonts w:hint="eastAsia" w:ascii="宋体" w:hAnsi="宋体"/>
          <w:color w:val="000000"/>
          <w:sz w:val="24"/>
        </w:rPr>
        <w:t>正常课程教学、</w:t>
      </w:r>
      <w:r>
        <w:rPr>
          <w:rFonts w:hint="eastAsia" w:ascii="宋体" w:hAnsi="宋体"/>
          <w:color w:val="000000"/>
          <w:sz w:val="24"/>
          <w:lang w:eastAsia="zh-CN"/>
        </w:rPr>
        <w:t>试验</w:t>
      </w:r>
      <w:r>
        <w:rPr>
          <w:rFonts w:hint="eastAsia" w:ascii="宋体" w:hAnsi="宋体"/>
          <w:color w:val="000000"/>
          <w:sz w:val="24"/>
        </w:rPr>
        <w:t>实训所需的专业教室</w:t>
      </w:r>
      <w:r>
        <w:rPr>
          <w:rFonts w:hint="eastAsia" w:ascii="宋体" w:hAnsi="宋体"/>
          <w:color w:val="000000"/>
          <w:sz w:val="24"/>
          <w:lang w:eastAsia="zh-CN"/>
        </w:rPr>
        <w:t>、</w:t>
      </w:r>
      <w:r>
        <w:rPr>
          <w:rFonts w:hint="eastAsia" w:ascii="宋体" w:hAnsi="宋体"/>
          <w:color w:val="000000"/>
          <w:sz w:val="24"/>
          <w:lang w:val="en-US" w:eastAsia="zh-CN"/>
        </w:rPr>
        <w:t>计算机用房、</w:t>
      </w:r>
      <w:r>
        <w:rPr>
          <w:rFonts w:hint="eastAsia" w:ascii="宋体" w:hAnsi="宋体"/>
          <w:color w:val="000000"/>
          <w:sz w:val="24"/>
        </w:rPr>
        <w:t>实训室</w:t>
      </w:r>
      <w:r>
        <w:rPr>
          <w:rFonts w:hint="eastAsia" w:ascii="宋体" w:hAnsi="宋体"/>
          <w:color w:val="000000"/>
          <w:sz w:val="24"/>
          <w:lang w:val="en-US" w:eastAsia="zh-CN"/>
        </w:rPr>
        <w:t>及实验设备。</w:t>
      </w:r>
      <w:r>
        <w:rPr>
          <w:rFonts w:hint="eastAsia" w:ascii="宋体" w:hAnsi="宋体"/>
          <w:color w:val="000000"/>
          <w:sz w:val="24"/>
        </w:rPr>
        <w:t>配备黑（白）板、多媒体计算机、投影设备、音响设备，接入可互联网或WiFi环境，并具有网络安全防护措施。</w:t>
      </w:r>
    </w:p>
    <w:p>
      <w:pPr>
        <w:numPr>
          <w:ilvl w:val="0"/>
          <w:numId w:val="0"/>
        </w:numPr>
        <w:spacing w:line="48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校内实训基地</w:t>
      </w:r>
    </w:p>
    <w:p>
      <w:pPr>
        <w:spacing w:line="360" w:lineRule="auto"/>
        <w:ind w:firstLine="480" w:firstLineChars="200"/>
        <w:jc w:val="left"/>
        <w:rPr>
          <w:rFonts w:ascii="宋体" w:hAnsi="宋体" w:cs="宋体"/>
          <w:sz w:val="24"/>
        </w:rPr>
      </w:pPr>
      <w:r>
        <w:rPr>
          <w:rFonts w:hint="eastAsia" w:ascii="宋体" w:hAnsi="宋体" w:cs="宋体"/>
          <w:sz w:val="24"/>
        </w:rPr>
        <w:t>（1）会计模拟实训室</w:t>
      </w:r>
    </w:p>
    <w:tbl>
      <w:tblPr>
        <w:tblStyle w:val="8"/>
        <w:tblW w:w="9300" w:type="dxa"/>
        <w:tblInd w:w="0" w:type="dxa"/>
        <w:tblLayout w:type="fixed"/>
        <w:tblCellMar>
          <w:top w:w="0" w:type="dxa"/>
          <w:left w:w="0" w:type="dxa"/>
          <w:bottom w:w="0" w:type="dxa"/>
          <w:right w:w="0" w:type="dxa"/>
        </w:tblCellMar>
      </w:tblPr>
      <w:tblGrid>
        <w:gridCol w:w="840"/>
        <w:gridCol w:w="1815"/>
        <w:gridCol w:w="1080"/>
        <w:gridCol w:w="1410"/>
        <w:gridCol w:w="2235"/>
        <w:gridCol w:w="1920"/>
      </w:tblGrid>
      <w:tr>
        <w:tblPrEx>
          <w:tblCellMar>
            <w:top w:w="0" w:type="dxa"/>
            <w:left w:w="0" w:type="dxa"/>
            <w:bottom w:w="0" w:type="dxa"/>
            <w:right w:w="0" w:type="dxa"/>
          </w:tblCellMar>
        </w:tblPrEx>
        <w:trPr>
          <w:trHeight w:val="300"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序号</w:t>
            </w:r>
          </w:p>
        </w:tc>
        <w:tc>
          <w:tcPr>
            <w:tcW w:w="18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设备名称</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单位</w:t>
            </w:r>
          </w:p>
        </w:tc>
        <w:tc>
          <w:tcPr>
            <w:tcW w:w="14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基本配置</w:t>
            </w:r>
          </w:p>
        </w:tc>
        <w:tc>
          <w:tcPr>
            <w:tcW w:w="22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ind w:firstLine="420" w:firstLineChars="20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实训内容</w:t>
            </w:r>
          </w:p>
        </w:tc>
        <w:tc>
          <w:tcPr>
            <w:tcW w:w="19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ind w:firstLine="420" w:firstLineChars="20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师资要求</w:t>
            </w:r>
          </w:p>
        </w:tc>
      </w:tr>
      <w:tr>
        <w:tblPrEx>
          <w:tblCellMar>
            <w:top w:w="0" w:type="dxa"/>
            <w:left w:w="0" w:type="dxa"/>
            <w:bottom w:w="0" w:type="dxa"/>
            <w:right w:w="0" w:type="dxa"/>
          </w:tblCellMar>
        </w:tblPrEx>
        <w:trPr>
          <w:trHeight w:val="42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原始凭证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能够根据会计工作的基本理论知识，掌握企业会计核算岗位的技能要求，进行会计账务处理、分析会计经济业务，熟练完成企业会计各种岗位的核算任务。</w:t>
            </w:r>
          </w:p>
        </w:tc>
        <w:tc>
          <w:tcPr>
            <w:tcW w:w="192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具有本专业中级以上职业资格证书或相应技术职称；能担任本专业的实习实训指导工作，并能正确完成技能操作示范</w:t>
            </w:r>
            <w:r>
              <w:rPr>
                <w:rFonts w:hint="eastAsia" w:ascii="宋体" w:hAnsi="宋体" w:cs="宋体"/>
                <w:color w:val="000000"/>
                <w:kern w:val="0"/>
                <w:sz w:val="21"/>
                <w:szCs w:val="21"/>
                <w:lang w:eastAsia="zh-CN" w:bidi="ar"/>
              </w:rPr>
              <w:t>。</w:t>
            </w: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收款凭证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3</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付款凭证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明细账</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5</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总账</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6</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报表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本</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7</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装订机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台</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8</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工作台、椅</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套</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40</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9</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机柜(I)</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个</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00" w:hRule="atLeast"/>
        </w:trPr>
        <w:tc>
          <w:tcPr>
            <w:tcW w:w="8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10</w:t>
            </w:r>
          </w:p>
        </w:tc>
        <w:tc>
          <w:tcPr>
            <w:tcW w:w="18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机柜(II)</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个</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w:t>
            </w:r>
          </w:p>
        </w:tc>
        <w:tc>
          <w:tcPr>
            <w:tcW w:w="22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2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bl>
    <w:p>
      <w:pPr>
        <w:spacing w:line="360" w:lineRule="auto"/>
        <w:jc w:val="left"/>
        <w:rPr>
          <w:rFonts w:ascii="宋体" w:hAnsi="宋体" w:cs="宋体"/>
          <w:sz w:val="24"/>
        </w:rPr>
      </w:pPr>
      <w:r>
        <w:rPr>
          <w:rFonts w:hint="eastAsia" w:ascii="宋体" w:hAnsi="宋体" w:cs="宋体"/>
          <w:sz w:val="24"/>
        </w:rPr>
        <w:br w:type="textWrapping"/>
      </w:r>
      <w:r>
        <w:rPr>
          <w:rFonts w:hint="eastAsia" w:ascii="宋体" w:hAnsi="宋体" w:cs="宋体"/>
          <w:sz w:val="24"/>
        </w:rPr>
        <w:t>（2）会计电算化综合实训室</w:t>
      </w:r>
    </w:p>
    <w:p>
      <w:pPr>
        <w:spacing w:line="360" w:lineRule="auto"/>
        <w:ind w:firstLine="480" w:firstLineChars="200"/>
        <w:jc w:val="left"/>
        <w:rPr>
          <w:rFonts w:ascii="宋体" w:hAnsi="宋体" w:cs="宋体"/>
          <w:sz w:val="24"/>
        </w:rPr>
      </w:pPr>
      <w:r>
        <w:rPr>
          <w:rFonts w:hint="eastAsia" w:ascii="宋体" w:hAnsi="宋体" w:cs="宋体"/>
          <w:sz w:val="24"/>
        </w:rPr>
        <w:t xml:space="preserve">主要设备装备标准： </w:t>
      </w:r>
    </w:p>
    <w:tbl>
      <w:tblPr>
        <w:tblStyle w:val="8"/>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075"/>
        <w:gridCol w:w="691"/>
        <w:gridCol w:w="1236"/>
        <w:gridCol w:w="1680"/>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934"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序号</w:t>
            </w:r>
          </w:p>
        </w:tc>
        <w:tc>
          <w:tcPr>
            <w:tcW w:w="2075"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设备名称</w:t>
            </w:r>
          </w:p>
        </w:tc>
        <w:tc>
          <w:tcPr>
            <w:tcW w:w="691"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单位</w:t>
            </w:r>
          </w:p>
        </w:tc>
        <w:tc>
          <w:tcPr>
            <w:tcW w:w="1236"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基本配置</w:t>
            </w:r>
          </w:p>
        </w:tc>
        <w:tc>
          <w:tcPr>
            <w:tcW w:w="1680" w:type="dxa"/>
            <w:noWrap w:val="0"/>
            <w:vAlign w:val="center"/>
          </w:tcPr>
          <w:p>
            <w:pPr>
              <w:pageBreakBefore w:val="0"/>
              <w:kinsoku/>
              <w:wordWrap/>
              <w:overflowPunct/>
              <w:topLinePunct w:val="0"/>
              <w:autoSpaceDE/>
              <w:bidi w:val="0"/>
              <w:spacing w:line="440" w:lineRule="exact"/>
              <w:outlineLvl w:val="9"/>
              <w:rPr>
                <w:rFonts w:hint="eastAsia"/>
                <w:szCs w:val="21"/>
              </w:rPr>
            </w:pPr>
            <w:r>
              <w:rPr>
                <w:rFonts w:hint="eastAsia"/>
                <w:szCs w:val="21"/>
              </w:rPr>
              <w:t>实训内容</w:t>
            </w:r>
          </w:p>
        </w:tc>
        <w:tc>
          <w:tcPr>
            <w:tcW w:w="1669" w:type="dxa"/>
            <w:noWrap w:val="0"/>
            <w:vAlign w:val="center"/>
          </w:tcPr>
          <w:p>
            <w:pPr>
              <w:pageBreakBefore w:val="0"/>
              <w:kinsoku/>
              <w:wordWrap/>
              <w:overflowPunct/>
              <w:topLinePunct w:val="0"/>
              <w:autoSpaceDE/>
              <w:bidi w:val="0"/>
              <w:spacing w:line="440" w:lineRule="exact"/>
              <w:outlineLvl w:val="9"/>
              <w:rPr>
                <w:rFonts w:hint="eastAsia"/>
                <w:szCs w:val="21"/>
              </w:rPr>
            </w:pPr>
            <w:r>
              <w:rPr>
                <w:rFonts w:hint="eastAsia"/>
                <w:szCs w:val="21"/>
              </w:rPr>
              <w:t>师资要求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934" w:type="dxa"/>
            <w:noWrap w:val="0"/>
            <w:vAlign w:val="center"/>
          </w:tcPr>
          <w:p>
            <w:pPr>
              <w:pageBreakBefore w:val="0"/>
              <w:kinsoku/>
              <w:wordWrap/>
              <w:overflowPunct/>
              <w:topLinePunct w:val="0"/>
              <w:autoSpaceDE/>
              <w:bidi w:val="0"/>
              <w:spacing w:line="440" w:lineRule="exact"/>
              <w:outlineLvl w:val="9"/>
              <w:rPr>
                <w:szCs w:val="21"/>
              </w:rPr>
            </w:pPr>
            <w:r>
              <w:rPr>
                <w:szCs w:val="21"/>
              </w:rPr>
              <w:t>1</w:t>
            </w:r>
          </w:p>
        </w:tc>
        <w:tc>
          <w:tcPr>
            <w:tcW w:w="2075"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U8财务软件</w:t>
            </w:r>
          </w:p>
        </w:tc>
        <w:tc>
          <w:tcPr>
            <w:tcW w:w="691"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套</w:t>
            </w:r>
          </w:p>
        </w:tc>
        <w:tc>
          <w:tcPr>
            <w:tcW w:w="1236" w:type="dxa"/>
            <w:noWrap w:val="0"/>
            <w:vAlign w:val="center"/>
          </w:tcPr>
          <w:p>
            <w:pPr>
              <w:pageBreakBefore w:val="0"/>
              <w:kinsoku/>
              <w:wordWrap/>
              <w:overflowPunct/>
              <w:topLinePunct w:val="0"/>
              <w:autoSpaceDE/>
              <w:bidi w:val="0"/>
              <w:spacing w:line="440" w:lineRule="exact"/>
              <w:outlineLvl w:val="9"/>
              <w:rPr>
                <w:szCs w:val="21"/>
              </w:rPr>
            </w:pPr>
            <w:r>
              <w:rPr>
                <w:szCs w:val="21"/>
              </w:rPr>
              <w:t>40</w:t>
            </w:r>
          </w:p>
        </w:tc>
        <w:tc>
          <w:tcPr>
            <w:tcW w:w="1680" w:type="dxa"/>
            <w:vMerge w:val="restart"/>
            <w:noWrap w:val="0"/>
            <w:vAlign w:val="center"/>
          </w:tcPr>
          <w:p>
            <w:pPr>
              <w:pageBreakBefore w:val="0"/>
              <w:kinsoku/>
              <w:wordWrap/>
              <w:overflowPunct/>
              <w:topLinePunct w:val="0"/>
              <w:autoSpaceDE/>
              <w:bidi w:val="0"/>
              <w:spacing w:line="440" w:lineRule="exact"/>
              <w:outlineLvl w:val="9"/>
              <w:rPr>
                <w:szCs w:val="21"/>
              </w:rPr>
            </w:pPr>
            <w:r>
              <w:rPr>
                <w:rFonts w:hint="eastAsia" w:ascii="楷体" w:hAnsi="楷体" w:eastAsia="楷体"/>
                <w:color w:val="000000"/>
                <w:szCs w:val="21"/>
              </w:rPr>
              <w:t>建立工资账套，基础信息设置，工资公式设置，月末处理</w:t>
            </w:r>
          </w:p>
        </w:tc>
        <w:tc>
          <w:tcPr>
            <w:tcW w:w="1669" w:type="dxa"/>
            <w:vMerge w:val="restart"/>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具有本专业中级以上职业资格证书或相应技术职称；能担任本专业的实习实训指导工作，并能正确完成技能操作示范．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934" w:type="dxa"/>
            <w:noWrap w:val="0"/>
            <w:vAlign w:val="center"/>
          </w:tcPr>
          <w:p>
            <w:pPr>
              <w:pageBreakBefore w:val="0"/>
              <w:kinsoku/>
              <w:wordWrap/>
              <w:overflowPunct/>
              <w:topLinePunct w:val="0"/>
              <w:autoSpaceDE/>
              <w:bidi w:val="0"/>
              <w:spacing w:line="440" w:lineRule="exact"/>
              <w:outlineLvl w:val="9"/>
              <w:rPr>
                <w:szCs w:val="21"/>
              </w:rPr>
            </w:pPr>
            <w:r>
              <w:rPr>
                <w:szCs w:val="21"/>
              </w:rPr>
              <w:t>2</w:t>
            </w:r>
          </w:p>
        </w:tc>
        <w:tc>
          <w:tcPr>
            <w:tcW w:w="2075"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投影仪及屏幕</w:t>
            </w:r>
          </w:p>
        </w:tc>
        <w:tc>
          <w:tcPr>
            <w:tcW w:w="691"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台</w:t>
            </w:r>
          </w:p>
        </w:tc>
        <w:tc>
          <w:tcPr>
            <w:tcW w:w="1236" w:type="dxa"/>
            <w:noWrap w:val="0"/>
            <w:vAlign w:val="center"/>
          </w:tcPr>
          <w:p>
            <w:pPr>
              <w:pageBreakBefore w:val="0"/>
              <w:kinsoku/>
              <w:wordWrap/>
              <w:overflowPunct/>
              <w:topLinePunct w:val="0"/>
              <w:autoSpaceDE/>
              <w:bidi w:val="0"/>
              <w:spacing w:line="440" w:lineRule="exact"/>
              <w:outlineLvl w:val="9"/>
              <w:rPr>
                <w:szCs w:val="21"/>
              </w:rPr>
            </w:pPr>
            <w:r>
              <w:rPr>
                <w:szCs w:val="21"/>
              </w:rPr>
              <w:t>1</w:t>
            </w:r>
          </w:p>
        </w:tc>
        <w:tc>
          <w:tcPr>
            <w:tcW w:w="1680" w:type="dxa"/>
            <w:vMerge w:val="continue"/>
            <w:noWrap w:val="0"/>
            <w:vAlign w:val="top"/>
          </w:tcPr>
          <w:p>
            <w:pPr>
              <w:pageBreakBefore w:val="0"/>
              <w:kinsoku/>
              <w:wordWrap/>
              <w:overflowPunct/>
              <w:topLinePunct w:val="0"/>
              <w:autoSpaceDE/>
              <w:bidi w:val="0"/>
              <w:spacing w:line="440" w:lineRule="exact"/>
              <w:outlineLvl w:val="9"/>
              <w:rPr>
                <w:szCs w:val="21"/>
              </w:rPr>
            </w:pPr>
          </w:p>
        </w:tc>
        <w:tc>
          <w:tcPr>
            <w:tcW w:w="1669" w:type="dxa"/>
            <w:vMerge w:val="continue"/>
            <w:noWrap w:val="0"/>
            <w:vAlign w:val="top"/>
          </w:tcPr>
          <w:p>
            <w:pPr>
              <w:pageBreakBefore w:val="0"/>
              <w:kinsoku/>
              <w:wordWrap/>
              <w:overflowPunct/>
              <w:topLinePunct w:val="0"/>
              <w:autoSpaceDE/>
              <w:bidi w:val="0"/>
              <w:spacing w:line="440" w:lineRule="exact"/>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934" w:type="dxa"/>
            <w:noWrap w:val="0"/>
            <w:vAlign w:val="center"/>
          </w:tcPr>
          <w:p>
            <w:pPr>
              <w:pageBreakBefore w:val="0"/>
              <w:kinsoku/>
              <w:wordWrap/>
              <w:overflowPunct/>
              <w:topLinePunct w:val="0"/>
              <w:autoSpaceDE/>
              <w:bidi w:val="0"/>
              <w:spacing w:line="440" w:lineRule="exact"/>
              <w:outlineLvl w:val="9"/>
              <w:rPr>
                <w:szCs w:val="21"/>
              </w:rPr>
            </w:pPr>
            <w:r>
              <w:rPr>
                <w:szCs w:val="21"/>
              </w:rPr>
              <w:t>3</w:t>
            </w:r>
          </w:p>
        </w:tc>
        <w:tc>
          <w:tcPr>
            <w:tcW w:w="2075"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工作台、椅</w:t>
            </w:r>
          </w:p>
        </w:tc>
        <w:tc>
          <w:tcPr>
            <w:tcW w:w="691"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套</w:t>
            </w:r>
          </w:p>
        </w:tc>
        <w:tc>
          <w:tcPr>
            <w:tcW w:w="1236" w:type="dxa"/>
            <w:noWrap w:val="0"/>
            <w:vAlign w:val="center"/>
          </w:tcPr>
          <w:p>
            <w:pPr>
              <w:pageBreakBefore w:val="0"/>
              <w:kinsoku/>
              <w:wordWrap/>
              <w:overflowPunct/>
              <w:topLinePunct w:val="0"/>
              <w:autoSpaceDE/>
              <w:bidi w:val="0"/>
              <w:spacing w:line="440" w:lineRule="exact"/>
              <w:outlineLvl w:val="9"/>
              <w:rPr>
                <w:szCs w:val="21"/>
              </w:rPr>
            </w:pPr>
            <w:r>
              <w:rPr>
                <w:szCs w:val="21"/>
              </w:rPr>
              <w:t>40</w:t>
            </w:r>
          </w:p>
        </w:tc>
        <w:tc>
          <w:tcPr>
            <w:tcW w:w="1680" w:type="dxa"/>
            <w:vMerge w:val="continue"/>
            <w:noWrap w:val="0"/>
            <w:vAlign w:val="top"/>
          </w:tcPr>
          <w:p>
            <w:pPr>
              <w:pageBreakBefore w:val="0"/>
              <w:kinsoku/>
              <w:wordWrap/>
              <w:overflowPunct/>
              <w:topLinePunct w:val="0"/>
              <w:autoSpaceDE/>
              <w:bidi w:val="0"/>
              <w:spacing w:line="440" w:lineRule="exact"/>
              <w:outlineLvl w:val="9"/>
              <w:rPr>
                <w:szCs w:val="21"/>
              </w:rPr>
            </w:pPr>
          </w:p>
        </w:tc>
        <w:tc>
          <w:tcPr>
            <w:tcW w:w="1669" w:type="dxa"/>
            <w:vMerge w:val="continue"/>
            <w:noWrap w:val="0"/>
            <w:vAlign w:val="top"/>
          </w:tcPr>
          <w:p>
            <w:pPr>
              <w:pageBreakBefore w:val="0"/>
              <w:kinsoku/>
              <w:wordWrap/>
              <w:overflowPunct/>
              <w:topLinePunct w:val="0"/>
              <w:autoSpaceDE/>
              <w:bidi w:val="0"/>
              <w:spacing w:line="440" w:lineRule="exact"/>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934" w:type="dxa"/>
            <w:noWrap w:val="0"/>
            <w:vAlign w:val="center"/>
          </w:tcPr>
          <w:p>
            <w:pPr>
              <w:pageBreakBefore w:val="0"/>
              <w:kinsoku/>
              <w:wordWrap/>
              <w:overflowPunct/>
              <w:topLinePunct w:val="0"/>
              <w:autoSpaceDE/>
              <w:bidi w:val="0"/>
              <w:spacing w:line="440" w:lineRule="exact"/>
              <w:outlineLvl w:val="9"/>
              <w:rPr>
                <w:szCs w:val="21"/>
              </w:rPr>
            </w:pPr>
            <w:r>
              <w:rPr>
                <w:szCs w:val="21"/>
              </w:rPr>
              <w:t>4</w:t>
            </w:r>
          </w:p>
        </w:tc>
        <w:tc>
          <w:tcPr>
            <w:tcW w:w="2075"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计算机</w:t>
            </w:r>
          </w:p>
        </w:tc>
        <w:tc>
          <w:tcPr>
            <w:tcW w:w="691" w:type="dxa"/>
            <w:noWrap w:val="0"/>
            <w:vAlign w:val="center"/>
          </w:tcPr>
          <w:p>
            <w:pPr>
              <w:pageBreakBefore w:val="0"/>
              <w:kinsoku/>
              <w:wordWrap/>
              <w:overflowPunct/>
              <w:topLinePunct w:val="0"/>
              <w:autoSpaceDE/>
              <w:bidi w:val="0"/>
              <w:spacing w:line="440" w:lineRule="exact"/>
              <w:outlineLvl w:val="9"/>
              <w:rPr>
                <w:szCs w:val="21"/>
              </w:rPr>
            </w:pPr>
            <w:r>
              <w:rPr>
                <w:rFonts w:hint="eastAsia"/>
                <w:szCs w:val="21"/>
              </w:rPr>
              <w:t>台</w:t>
            </w:r>
          </w:p>
        </w:tc>
        <w:tc>
          <w:tcPr>
            <w:tcW w:w="1236" w:type="dxa"/>
            <w:noWrap w:val="0"/>
            <w:vAlign w:val="center"/>
          </w:tcPr>
          <w:p>
            <w:pPr>
              <w:pageBreakBefore w:val="0"/>
              <w:kinsoku/>
              <w:wordWrap/>
              <w:overflowPunct/>
              <w:topLinePunct w:val="0"/>
              <w:autoSpaceDE/>
              <w:bidi w:val="0"/>
              <w:spacing w:line="440" w:lineRule="exact"/>
              <w:outlineLvl w:val="9"/>
              <w:rPr>
                <w:szCs w:val="21"/>
              </w:rPr>
            </w:pPr>
            <w:r>
              <w:rPr>
                <w:szCs w:val="21"/>
              </w:rPr>
              <w:t>40</w:t>
            </w:r>
          </w:p>
        </w:tc>
        <w:tc>
          <w:tcPr>
            <w:tcW w:w="1680" w:type="dxa"/>
            <w:vMerge w:val="continue"/>
            <w:noWrap w:val="0"/>
            <w:vAlign w:val="top"/>
          </w:tcPr>
          <w:p>
            <w:pPr>
              <w:pageBreakBefore w:val="0"/>
              <w:kinsoku/>
              <w:wordWrap/>
              <w:overflowPunct/>
              <w:topLinePunct w:val="0"/>
              <w:autoSpaceDE/>
              <w:bidi w:val="0"/>
              <w:spacing w:line="440" w:lineRule="exact"/>
              <w:outlineLvl w:val="9"/>
              <w:rPr>
                <w:szCs w:val="21"/>
              </w:rPr>
            </w:pPr>
          </w:p>
        </w:tc>
        <w:tc>
          <w:tcPr>
            <w:tcW w:w="1669" w:type="dxa"/>
            <w:vMerge w:val="continue"/>
            <w:noWrap w:val="0"/>
            <w:vAlign w:val="top"/>
          </w:tcPr>
          <w:p>
            <w:pPr>
              <w:pageBreakBefore w:val="0"/>
              <w:kinsoku/>
              <w:wordWrap/>
              <w:overflowPunct/>
              <w:topLinePunct w:val="0"/>
              <w:autoSpaceDE/>
              <w:bidi w:val="0"/>
              <w:spacing w:line="440" w:lineRule="exact"/>
              <w:outlineLvl w:val="9"/>
              <w:rPr>
                <w:szCs w:val="21"/>
              </w:rPr>
            </w:pPr>
          </w:p>
        </w:tc>
      </w:tr>
    </w:tbl>
    <w:p>
      <w:pPr>
        <w:spacing w:line="4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3.校外实习基地</w:t>
      </w:r>
    </w:p>
    <w:p>
      <w:pPr>
        <w:spacing w:line="4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要求:企业历史较长，形成企业文化；企业技术力量较强，能够开展大数据与会计专业等实训活动，实训设施齐备，实训岗位、实训指导教师确定，实训管理及实施规章制度齐全，能完成应由企业承担的课程教学，达到教学要求；大数据与会计专业的校外教学环境应当能反映行业发展的现状，应包括具有代表性的企业，如制造企业、商品流通企业和服务行业企业等。企业所有制形式不应局限，这些企业既可以是本地的，也可以是外省的，既需要有影响力的知名企业，也要有发展迅速、业绩和管理水平突出的中小企业。</w:t>
      </w:r>
    </w:p>
    <w:p>
      <w:pPr>
        <w:spacing w:line="4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本专业与南阳金冠电器有限公司、河南牧原食品有限公司、南阳正方会计师事务所等数家企业和机构建立了稳定的合作关系。丰富的企业资源为本专业学生提供了全方位的校外实习教学环境。</w:t>
      </w:r>
    </w:p>
    <w:p>
      <w:pPr>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eastAsia="zh-CN"/>
        </w:rPr>
        <w:t>（三）教材及参考书选用</w:t>
      </w:r>
      <w:r>
        <w:rPr>
          <w:rFonts w:hint="eastAsia" w:ascii="宋体" w:hAnsi="宋体" w:eastAsia="宋体" w:cs="宋体"/>
          <w:b/>
          <w:bCs/>
          <w:sz w:val="24"/>
          <w:lang w:val="en-US" w:eastAsia="zh-CN"/>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olor w:val="000000"/>
          <w:sz w:val="24"/>
        </w:rPr>
        <w:t>按照国家规定</w:t>
      </w:r>
      <w:r>
        <w:rPr>
          <w:rFonts w:hint="eastAsia" w:ascii="宋体" w:hAnsi="宋体"/>
          <w:color w:val="000000"/>
          <w:sz w:val="24"/>
          <w:lang w:val="en-US" w:eastAsia="zh-CN"/>
        </w:rPr>
        <w:t>经过规范程序</w:t>
      </w:r>
      <w:r>
        <w:rPr>
          <w:rFonts w:hint="eastAsia" w:ascii="宋体" w:hAnsi="宋体"/>
          <w:color w:val="000000"/>
          <w:sz w:val="24"/>
        </w:rPr>
        <w:t>选用优质教材</w:t>
      </w:r>
      <w:r>
        <w:rPr>
          <w:rFonts w:hint="eastAsia" w:ascii="宋体" w:hAnsi="宋体"/>
          <w:color w:val="000000"/>
          <w:sz w:val="24"/>
          <w:lang w:eastAsia="zh-CN"/>
        </w:rPr>
        <w:t>，</w:t>
      </w:r>
      <w:r>
        <w:rPr>
          <w:rFonts w:hint="eastAsia" w:ascii="宋体" w:hAnsi="宋体" w:cs="宋体"/>
          <w:sz w:val="24"/>
        </w:rPr>
        <w:t>优先先用近3年出版的新教材和各级各类获奖教材。鼓励选用教育主管部门或教学指导委员会推荐教材；</w:t>
      </w:r>
    </w:p>
    <w:p>
      <w:pPr>
        <w:spacing w:line="360" w:lineRule="auto"/>
        <w:ind w:firstLine="480" w:firstLineChars="200"/>
        <w:rPr>
          <w:rFonts w:hint="eastAsia" w:ascii="宋体" w:hAnsi="宋体" w:cs="宋体"/>
          <w:color w:val="000000"/>
          <w:sz w:val="24"/>
        </w:rPr>
      </w:pPr>
      <w:r>
        <w:rPr>
          <w:rFonts w:hint="eastAsia" w:ascii="宋体" w:hAnsi="宋体" w:cs="宋体"/>
          <w:sz w:val="24"/>
          <w:lang w:val="en-US" w:eastAsia="zh-CN"/>
        </w:rPr>
        <w:t>2.</w:t>
      </w:r>
      <w:r>
        <w:rPr>
          <w:rFonts w:hint="eastAsia" w:ascii="宋体" w:hAnsi="宋体" w:cs="宋体"/>
          <w:sz w:val="24"/>
        </w:rPr>
        <w:t>选用先进的</w:t>
      </w:r>
      <w:r>
        <w:rPr>
          <w:rFonts w:hint="eastAsia" w:ascii="宋体" w:hAnsi="宋体" w:cs="宋体"/>
          <w:color w:val="000000"/>
          <w:sz w:val="24"/>
        </w:rPr>
        <w:t>、能</w:t>
      </w:r>
      <w:r>
        <w:rPr>
          <w:rFonts w:hint="eastAsia" w:ascii="宋体" w:hAnsi="宋体" w:cs="宋体"/>
          <w:sz w:val="24"/>
        </w:rPr>
        <w:t>吸收最新科研成果及经验总结，体现现代</w:t>
      </w:r>
      <w:r>
        <w:rPr>
          <w:rFonts w:hint="eastAsia" w:ascii="宋体" w:hAnsi="宋体" w:cs="宋体"/>
          <w:sz w:val="24"/>
          <w:lang w:val="en-US" w:eastAsia="zh-CN"/>
        </w:rPr>
        <w:t>会计发展的</w:t>
      </w:r>
      <w:r>
        <w:rPr>
          <w:rFonts w:hint="eastAsia" w:ascii="宋体" w:hAnsi="宋体" w:cs="宋体"/>
          <w:color w:val="000000"/>
          <w:sz w:val="24"/>
        </w:rPr>
        <w:t>高质量教材；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经过专业整合的课程，尤其是专业核心课程，建议专业教师编写更符合教学要求、更能体现课程体系科学、更结合专业实际的特色教材。</w:t>
      </w:r>
    </w:p>
    <w:p>
      <w:pPr>
        <w:spacing w:line="360" w:lineRule="auto"/>
        <w:ind w:firstLine="480" w:firstLineChars="200"/>
        <w:rPr>
          <w:rFonts w:hint="eastAsia" w:ascii="宋体" w:hAnsi="宋体" w:eastAsia="宋体" w:cs="宋体"/>
          <w:sz w:val="24"/>
          <w:lang w:eastAsia="zh-CN"/>
        </w:rPr>
      </w:pPr>
      <w:r>
        <w:rPr>
          <w:rFonts w:hint="eastAsia" w:ascii="宋体" w:hAnsi="宋体" w:cs="宋体"/>
          <w:color w:val="000000"/>
          <w:sz w:val="24"/>
          <w:lang w:val="en-US" w:eastAsia="zh-CN"/>
        </w:rPr>
        <w:t>4.</w:t>
      </w:r>
      <w:r>
        <w:rPr>
          <w:rFonts w:hint="eastAsia" w:ascii="宋体" w:hAnsi="宋体" w:cs="宋体"/>
          <w:color w:val="000000"/>
          <w:sz w:val="24"/>
        </w:rPr>
        <w:t>根据</w:t>
      </w:r>
      <w:r>
        <w:rPr>
          <w:rFonts w:hint="eastAsia" w:ascii="宋体" w:hAnsi="宋体" w:cs="宋体"/>
          <w:color w:val="000000"/>
          <w:sz w:val="24"/>
          <w:lang w:val="en-US" w:eastAsia="zh-CN"/>
        </w:rPr>
        <w:t>成人</w:t>
      </w:r>
      <w:r>
        <w:rPr>
          <w:rFonts w:hint="eastAsia" w:ascii="宋体" w:hAnsi="宋体" w:cs="宋体"/>
          <w:color w:val="000000"/>
          <w:sz w:val="24"/>
        </w:rPr>
        <w:t>教育规律和学生认知特点，坚持借鉴与创新相结合的原则，对素材进行取舍，遵循循序渐进</w:t>
      </w:r>
      <w:r>
        <w:rPr>
          <w:rFonts w:hint="eastAsia" w:ascii="宋体" w:hAnsi="宋体" w:cs="宋体"/>
          <w:sz w:val="24"/>
        </w:rPr>
        <w:t>、由浅入深、由易到难、由简入繁、以实用为主旨、以必需和够用为原则来组织编排内容，注意内容的应用性和实践性，体现实用性</w:t>
      </w:r>
      <w:r>
        <w:rPr>
          <w:rFonts w:hint="eastAsia" w:ascii="宋体" w:hAnsi="宋体" w:cs="宋体"/>
          <w:sz w:val="24"/>
          <w:lang w:val="en-US" w:eastAsia="zh-CN"/>
        </w:rPr>
        <w:t>.</w:t>
      </w:r>
    </w:p>
    <w:p>
      <w:pPr>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（四）数字化资源</w:t>
      </w:r>
    </w:p>
    <w:p>
      <w:pPr>
        <w:pStyle w:val="7"/>
        <w:spacing w:before="0" w:beforeAutospacing="0" w:after="0" w:afterAutospacing="0" w:line="360" w:lineRule="auto"/>
        <w:ind w:firstLine="480" w:firstLineChars="200"/>
        <w:jc w:val="both"/>
        <w:rPr>
          <w:rFonts w:hint="eastAsia"/>
          <w:lang w:val="en-US" w:eastAsia="zh-CN"/>
        </w:rPr>
      </w:pPr>
      <w:r>
        <w:rPr>
          <w:rFonts w:hint="eastAsia"/>
          <w:lang w:val="en-US" w:eastAsia="zh-CN"/>
        </w:rPr>
        <w:t>1.教学平台。具有教学平台，网络课程丰富，能够满足教师直播教学和在籍生在线学习需要，不断开发网络课程和在线开放课程。</w:t>
      </w:r>
    </w:p>
    <w:p>
      <w:pPr>
        <w:pStyle w:val="7"/>
        <w:spacing w:before="0" w:beforeAutospacing="0" w:after="0" w:afterAutospacing="0" w:line="360" w:lineRule="auto"/>
        <w:ind w:firstLine="480" w:firstLineChars="200"/>
        <w:jc w:val="both"/>
      </w:pPr>
      <w:r>
        <w:rPr>
          <w:rFonts w:hint="eastAsia"/>
          <w:lang w:val="en-US" w:eastAsia="zh-CN"/>
        </w:rPr>
        <w:t>2.</w:t>
      </w:r>
      <w:r>
        <w:rPr>
          <w:rFonts w:hint="eastAsia"/>
        </w:rPr>
        <w:t>学校具有教材及图书、数字化（网络）资料等学习资源；建设具有连接互联网接口的实训室、办公室，学员可根据老师要求随时浏览相关学习内容，教师可在线答疑，及时了解学生掌握的情况，利用网络的直观、便捷、快速实现网络环境下的信息交流；具备局域网教学条件的实训室，能够实施模拟仿真教学；建设电子图书阅览室以及可支持学生自主学习的浏览相关知识的精品课程网站。</w:t>
      </w:r>
    </w:p>
    <w:p>
      <w:pPr>
        <w:numPr>
          <w:ilvl w:val="0"/>
          <w:numId w:val="0"/>
        </w:numPr>
        <w:spacing w:line="360" w:lineRule="auto"/>
        <w:ind w:firstLine="482" w:firstLineChars="200"/>
        <w:outlineLvl w:val="1"/>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（五） 质量管理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1.建立</w:t>
      </w:r>
      <w:r>
        <w:rPr>
          <w:rFonts w:hint="eastAsia" w:ascii="宋体" w:hAnsi="宋体"/>
          <w:color w:val="000000"/>
          <w:sz w:val="24"/>
        </w:rPr>
        <w:t>教学过程质量监控机制</w:t>
      </w:r>
      <w:r>
        <w:rPr>
          <w:rFonts w:hint="eastAsia" w:ascii="宋体" w:hAnsi="宋体"/>
          <w:color w:val="000000"/>
          <w:sz w:val="24"/>
          <w:lang w:eastAsia="zh-CN"/>
        </w:rPr>
        <w:t>，</w:t>
      </w:r>
      <w:r>
        <w:rPr>
          <w:rFonts w:hint="eastAsia" w:ascii="宋体" w:hAnsi="宋体" w:eastAsia="宋体" w:cs="宋体"/>
          <w:sz w:val="24"/>
          <w:lang w:eastAsia="zh-CN"/>
        </w:rPr>
        <w:t>健全专业教学质量监控管理制度，完善课堂教学、教学评价、实习实训、人才培养</w:t>
      </w:r>
      <w:r>
        <w:rPr>
          <w:rFonts w:hint="eastAsia" w:ascii="宋体" w:hAnsi="宋体" w:eastAsia="宋体" w:cs="宋体"/>
          <w:sz w:val="24"/>
          <w:lang w:val="en-US" w:eastAsia="zh-CN"/>
        </w:rPr>
        <w:t>方</w:t>
      </w:r>
      <w:r>
        <w:rPr>
          <w:rFonts w:hint="eastAsia" w:ascii="宋体" w:hAnsi="宋体" w:eastAsia="宋体" w:cs="宋体"/>
          <w:sz w:val="24"/>
          <w:lang w:eastAsia="zh-CN"/>
        </w:rPr>
        <w:t>案更新等方面质量标准建设，通过教学实施、过程监控、质量评价，达成人才培养规格。</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加强日常教学组织运行与管理，建立健全评教制度，</w:t>
      </w:r>
      <w:r>
        <w:rPr>
          <w:rFonts w:hint="eastAsia" w:ascii="宋体" w:hAnsi="宋体" w:eastAsia="宋体" w:cs="宋体"/>
          <w:sz w:val="24"/>
          <w:lang w:val="en-US" w:eastAsia="zh-CN"/>
        </w:rPr>
        <w:t>严</w:t>
      </w:r>
      <w:r>
        <w:rPr>
          <w:rFonts w:hint="eastAsia" w:ascii="宋体" w:hAnsi="宋体" w:eastAsia="宋体" w:cs="宋体"/>
          <w:sz w:val="24"/>
          <w:lang w:eastAsia="zh-CN"/>
        </w:rPr>
        <w:t>明</w:t>
      </w:r>
      <w:r>
        <w:rPr>
          <w:rFonts w:hint="eastAsia" w:ascii="宋体" w:hAnsi="宋体" w:eastAsia="宋体" w:cs="宋体"/>
          <w:sz w:val="24"/>
          <w:lang w:val="en-US" w:eastAsia="zh-CN"/>
        </w:rPr>
        <w:t>教</w:t>
      </w:r>
      <w:r>
        <w:rPr>
          <w:rFonts w:hint="eastAsia" w:ascii="宋体" w:hAnsi="宋体" w:eastAsia="宋体" w:cs="宋体"/>
          <w:sz w:val="24"/>
          <w:lang w:eastAsia="zh-CN"/>
        </w:rPr>
        <w:t>学</w:t>
      </w:r>
      <w:r>
        <w:rPr>
          <w:rFonts w:hint="eastAsia" w:ascii="宋体" w:hAnsi="宋体" w:eastAsia="宋体" w:cs="宋体"/>
          <w:sz w:val="24"/>
          <w:lang w:val="en-US" w:eastAsia="zh-CN"/>
        </w:rPr>
        <w:t>纪</w:t>
      </w:r>
      <w:r>
        <w:rPr>
          <w:rFonts w:hint="eastAsia" w:ascii="宋体" w:hAnsi="宋体" w:eastAsia="宋体" w:cs="宋体"/>
          <w:sz w:val="24"/>
          <w:lang w:eastAsia="zh-CN"/>
        </w:rPr>
        <w:t>律，强化教学组织功能，</w:t>
      </w:r>
      <w:r>
        <w:rPr>
          <w:rFonts w:hint="eastAsia" w:ascii="宋体" w:hAnsi="宋体" w:eastAsia="宋体" w:cs="宋体"/>
          <w:sz w:val="24"/>
          <w:lang w:val="en-US" w:eastAsia="zh-CN"/>
        </w:rPr>
        <w:t>定期开展</w:t>
      </w:r>
      <w:r>
        <w:rPr>
          <w:rFonts w:hint="eastAsia" w:ascii="宋体" w:hAnsi="宋体" w:eastAsia="宋体" w:cs="宋体"/>
          <w:sz w:val="24"/>
          <w:lang w:eastAsia="zh-CN"/>
        </w:rPr>
        <w:t>教研活动。</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建立毕业生跟踪反馈机制及社会评价机制，</w:t>
      </w:r>
      <w:r>
        <w:rPr>
          <w:rFonts w:hint="eastAsia" w:ascii="宋体" w:hAnsi="宋体" w:eastAsia="宋体" w:cs="宋体"/>
          <w:sz w:val="24"/>
          <w:lang w:val="en-US" w:eastAsia="zh-CN"/>
        </w:rPr>
        <w:t>定</w:t>
      </w:r>
      <w:r>
        <w:rPr>
          <w:rFonts w:hint="eastAsia" w:ascii="宋体" w:hAnsi="宋体" w:eastAsia="宋体" w:cs="宋体"/>
          <w:sz w:val="24"/>
          <w:lang w:eastAsia="zh-CN"/>
        </w:rPr>
        <w:t>期评价人</w:t>
      </w:r>
      <w:r>
        <w:rPr>
          <w:rFonts w:hint="eastAsia" w:ascii="宋体" w:hAnsi="宋体" w:eastAsia="宋体" w:cs="宋体"/>
          <w:sz w:val="24"/>
          <w:lang w:val="en-US" w:eastAsia="zh-CN"/>
        </w:rPr>
        <w:t>才</w:t>
      </w:r>
      <w:r>
        <w:rPr>
          <w:rFonts w:hint="eastAsia" w:ascii="宋体" w:hAnsi="宋体" w:eastAsia="宋体" w:cs="宋体"/>
          <w:sz w:val="24"/>
          <w:lang w:eastAsia="zh-CN"/>
        </w:rPr>
        <w:t>培养质量和</w:t>
      </w:r>
      <w:r>
        <w:rPr>
          <w:rFonts w:hint="eastAsia" w:ascii="宋体" w:hAnsi="宋体" w:eastAsia="宋体" w:cs="宋体"/>
          <w:sz w:val="24"/>
          <w:lang w:val="en-US" w:eastAsia="zh-CN"/>
        </w:rPr>
        <w:t>培养目标达成情况，充分利用评价分析结果有效促进专业教学，持续提高人才培养质量。</w:t>
      </w:r>
    </w:p>
    <w:p>
      <w:pPr>
        <w:numPr>
          <w:ilvl w:val="0"/>
          <w:numId w:val="0"/>
        </w:numPr>
        <w:spacing w:line="360" w:lineRule="auto"/>
        <w:ind w:firstLine="482" w:firstLineChars="200"/>
        <w:outlineLvl w:val="1"/>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（六）经费保障</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eastAsia="宋体" w:cs="宋体"/>
          <w:sz w:val="24"/>
          <w:lang w:val="en-US" w:eastAsia="zh-CN"/>
        </w:rPr>
        <w:t>学校高度重视学历继续教育教学建设，</w:t>
      </w:r>
      <w:r>
        <w:rPr>
          <w:rFonts w:hint="eastAsia" w:ascii="宋体" w:hAnsi="宋体"/>
          <w:color w:val="000000"/>
          <w:sz w:val="24"/>
          <w:lang w:eastAsia="zh-CN"/>
        </w:rPr>
        <w:t>保障学历继续教育办学经费，建立健全财务管理制度，规范学费收入使用管理。</w:t>
      </w:r>
    </w:p>
    <w:p>
      <w:pPr>
        <w:spacing w:line="440" w:lineRule="exact"/>
        <w:ind w:firstLine="480" w:firstLineChars="200"/>
        <w:rPr>
          <w:rFonts w:hint="eastAsia" w:ascii="宋体" w:hAnsi="宋体"/>
          <w:color w:val="000000"/>
          <w:sz w:val="24"/>
          <w:lang w:eastAsia="zh-CN"/>
        </w:rPr>
      </w:pPr>
      <w:r>
        <w:rPr>
          <w:rFonts w:hint="eastAsia" w:ascii="宋体" w:hAnsi="宋体"/>
          <w:color w:val="000000"/>
          <w:sz w:val="24"/>
          <w:lang w:eastAsia="zh-CN"/>
        </w:rPr>
        <w:t>2.保证正常教育教学的稳定经费投入，学历继续教育学费总额中用于学历继续教育办学经费的比例不低于70%。</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w:t>
      </w:r>
    </w:p>
    <w:p>
      <w:pPr>
        <w:spacing w:line="360" w:lineRule="auto"/>
        <w:ind w:firstLine="480" w:firstLineChars="200"/>
        <w:jc w:val="left"/>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mUzN2FmMTgwZWUwZTM2YmVhOGZhYTJjNDMzOTMifQ=="/>
  </w:docVars>
  <w:rsids>
    <w:rsidRoot w:val="11DB0B7C"/>
    <w:rsid w:val="000D6E15"/>
    <w:rsid w:val="001A3F55"/>
    <w:rsid w:val="0026669D"/>
    <w:rsid w:val="002E483A"/>
    <w:rsid w:val="0082717B"/>
    <w:rsid w:val="008B5902"/>
    <w:rsid w:val="008C64C6"/>
    <w:rsid w:val="009901CB"/>
    <w:rsid w:val="00A55D45"/>
    <w:rsid w:val="00BB04BF"/>
    <w:rsid w:val="00C75D05"/>
    <w:rsid w:val="00DA3E2D"/>
    <w:rsid w:val="00DA7513"/>
    <w:rsid w:val="00F65D83"/>
    <w:rsid w:val="012349C4"/>
    <w:rsid w:val="03303A0A"/>
    <w:rsid w:val="053C5850"/>
    <w:rsid w:val="05795457"/>
    <w:rsid w:val="09C60552"/>
    <w:rsid w:val="0A1A6449"/>
    <w:rsid w:val="0CDC734E"/>
    <w:rsid w:val="0D366115"/>
    <w:rsid w:val="0DEB78E8"/>
    <w:rsid w:val="0E493CAB"/>
    <w:rsid w:val="0EE656FC"/>
    <w:rsid w:val="1046411E"/>
    <w:rsid w:val="108A75CC"/>
    <w:rsid w:val="11DB0B7C"/>
    <w:rsid w:val="12676335"/>
    <w:rsid w:val="12CC10ED"/>
    <w:rsid w:val="14F54556"/>
    <w:rsid w:val="166C29CE"/>
    <w:rsid w:val="16CA1E74"/>
    <w:rsid w:val="17033A1E"/>
    <w:rsid w:val="18C51467"/>
    <w:rsid w:val="1AC05131"/>
    <w:rsid w:val="1C7C153D"/>
    <w:rsid w:val="1C8F3A68"/>
    <w:rsid w:val="1D8C491B"/>
    <w:rsid w:val="1F0F628F"/>
    <w:rsid w:val="1F8B3E99"/>
    <w:rsid w:val="1FDE77E3"/>
    <w:rsid w:val="2053577E"/>
    <w:rsid w:val="20E22BD6"/>
    <w:rsid w:val="2117038A"/>
    <w:rsid w:val="234D5D0B"/>
    <w:rsid w:val="23AF1583"/>
    <w:rsid w:val="24156F1F"/>
    <w:rsid w:val="25332B7D"/>
    <w:rsid w:val="27F54F9D"/>
    <w:rsid w:val="28F214DC"/>
    <w:rsid w:val="2A84670A"/>
    <w:rsid w:val="312178AB"/>
    <w:rsid w:val="31247358"/>
    <w:rsid w:val="33435AF2"/>
    <w:rsid w:val="37DC5212"/>
    <w:rsid w:val="38E519B8"/>
    <w:rsid w:val="3ADB33F0"/>
    <w:rsid w:val="3C8E2C30"/>
    <w:rsid w:val="3F7C6F4C"/>
    <w:rsid w:val="46A47BBC"/>
    <w:rsid w:val="49D40DF0"/>
    <w:rsid w:val="4B257C97"/>
    <w:rsid w:val="4B8C58E0"/>
    <w:rsid w:val="4C6A475C"/>
    <w:rsid w:val="4DE4137E"/>
    <w:rsid w:val="4F48069E"/>
    <w:rsid w:val="504B1FD5"/>
    <w:rsid w:val="50887CC8"/>
    <w:rsid w:val="530D588A"/>
    <w:rsid w:val="548C0893"/>
    <w:rsid w:val="54E724F6"/>
    <w:rsid w:val="54EC391B"/>
    <w:rsid w:val="55670DD9"/>
    <w:rsid w:val="5F3C390C"/>
    <w:rsid w:val="61867A18"/>
    <w:rsid w:val="64F00C57"/>
    <w:rsid w:val="668E1368"/>
    <w:rsid w:val="69175A8D"/>
    <w:rsid w:val="6AEF5859"/>
    <w:rsid w:val="6C4E414C"/>
    <w:rsid w:val="6E3B584D"/>
    <w:rsid w:val="70C4708B"/>
    <w:rsid w:val="72483B8E"/>
    <w:rsid w:val="749C40B1"/>
    <w:rsid w:val="7571290F"/>
    <w:rsid w:val="7ABB5795"/>
    <w:rsid w:val="7B94132A"/>
    <w:rsid w:val="7C194E99"/>
    <w:rsid w:val="7CE502B1"/>
    <w:rsid w:val="7D5237A8"/>
    <w:rsid w:val="7DA21CE7"/>
    <w:rsid w:val="7EEC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样式 标题 3 + 仿宋_GB2312 三号 黑色 居中 段前: 自动 段后: 自动 行距: 固定值 30 磅"/>
    <w:basedOn w:val="3"/>
    <w:qFormat/>
    <w:uiPriority w:val="0"/>
    <w:pPr>
      <w:keepNext w:val="0"/>
      <w:keepLines w:val="0"/>
      <w:widowControl/>
      <w:spacing w:before="100" w:beforeAutospacing="1" w:after="100" w:afterAutospacing="1" w:line="300" w:lineRule="exact"/>
      <w:ind w:firstLine="200" w:firstLineChars="200"/>
      <w:jc w:val="center"/>
    </w:pPr>
    <w:rPr>
      <w:rFonts w:ascii="仿宋_GB2312" w:hAnsi="宋体" w:eastAsia="楷体_GB2312" w:cs="宋体"/>
      <w:color w:val="000000"/>
      <w:kern w:val="0"/>
      <w:sz w:val="28"/>
      <w:szCs w:val="20"/>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4420</Words>
  <Characters>4843</Characters>
  <Lines>35</Lines>
  <Paragraphs>10</Paragraphs>
  <TotalTime>19</TotalTime>
  <ScaleCrop>false</ScaleCrop>
  <LinksUpToDate>false</LinksUpToDate>
  <CharactersWithSpaces>4948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2019-03-25T02:15:00Z</dcterms:created>
  <dc:creator>珂之然</dc:creator>
  <cp:lastModifiedBy>LENOVO</cp:lastModifiedBy>
  <dcterms:modified xsi:type="dcterms:W3CDTF">2023-03-29T07:14:26Z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0332803737E646F68F6081E745781FF4</vt:lpwstr>
  </property>
</Properties>
</file>