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仿宋" w:hAnsi="仿宋" w:eastAsia="仿宋" w:cs="仿宋"/>
          <w:b/>
          <w:color w:val="000000"/>
          <w:kern w:val="0"/>
          <w:sz w:val="36"/>
          <w:szCs w:val="36"/>
          <w:lang w:val="en-US" w:eastAsia="zh-CN" w:bidi="ar"/>
        </w:rPr>
        <w:t>《</w:t>
      </w:r>
      <w:r>
        <w:rPr>
          <w:rFonts w:hint="eastAsia" w:ascii="仿宋" w:hAnsi="仿宋" w:eastAsia="仿宋" w:cs="仿宋"/>
          <w:b/>
          <w:color w:val="000000"/>
          <w:kern w:val="0"/>
          <w:sz w:val="36"/>
          <w:szCs w:val="36"/>
          <w:lang w:val="en-US" w:eastAsia="zh-CN" w:bidi="ar"/>
        </w:rPr>
        <w:t>园林美术</w:t>
      </w:r>
      <w:r>
        <w:rPr>
          <w:rFonts w:ascii="仿宋" w:hAnsi="仿宋" w:eastAsia="仿宋" w:cs="仿宋"/>
          <w:b/>
          <w:color w:val="000000"/>
          <w:kern w:val="0"/>
          <w:sz w:val="36"/>
          <w:szCs w:val="36"/>
          <w:lang w:val="en-US" w:eastAsia="zh-CN" w:bidi="ar"/>
        </w:rPr>
        <w:t>》 课程融入思政元素汇总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446"/>
        <w:gridCol w:w="401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center"/>
              <w:rPr>
                <w:rFonts w:hint="eastAsia" w:eastAsiaTheme="minorEastAsia"/>
                <w:vertAlign w:val="baseline"/>
                <w:lang w:eastAsia="zh-CN"/>
              </w:rPr>
            </w:pPr>
            <w:r>
              <w:rPr>
                <w:rFonts w:ascii="仿宋" w:hAnsi="仿宋" w:eastAsia="仿宋" w:cs="仿宋"/>
                <w:b/>
                <w:color w:val="000000"/>
                <w:kern w:val="0"/>
                <w:sz w:val="24"/>
                <w:szCs w:val="24"/>
                <w:lang w:val="en-US" w:eastAsia="zh-CN" w:bidi="ar"/>
              </w:rPr>
              <w:t>章节</w:t>
            </w:r>
          </w:p>
        </w:tc>
        <w:tc>
          <w:tcPr>
            <w:tcW w:w="1446" w:type="dxa"/>
          </w:tcPr>
          <w:p>
            <w:pPr>
              <w:keepNext w:val="0"/>
              <w:keepLines w:val="0"/>
              <w:widowControl/>
              <w:suppressLineNumbers w:val="0"/>
              <w:jc w:val="center"/>
            </w:pPr>
            <w:r>
              <w:rPr>
                <w:rFonts w:ascii="仿宋" w:hAnsi="仿宋" w:eastAsia="仿宋" w:cs="仿宋"/>
                <w:b/>
                <w:color w:val="000000"/>
                <w:kern w:val="0"/>
                <w:sz w:val="24"/>
                <w:szCs w:val="24"/>
                <w:lang w:val="en-US" w:eastAsia="zh-CN" w:bidi="ar"/>
              </w:rPr>
              <w:t>思政映射与</w:t>
            </w:r>
          </w:p>
          <w:p>
            <w:pPr>
              <w:keepNext w:val="0"/>
              <w:keepLines w:val="0"/>
              <w:widowControl/>
              <w:suppressLineNumbers w:val="0"/>
              <w:jc w:val="center"/>
              <w:rPr>
                <w:rFonts w:hint="eastAsia" w:eastAsiaTheme="minorEastAsia"/>
                <w:vertAlign w:val="baseline"/>
                <w:lang w:eastAsia="zh-CN"/>
              </w:rPr>
            </w:pPr>
            <w:r>
              <w:rPr>
                <w:rFonts w:hint="eastAsia" w:ascii="仿宋" w:hAnsi="仿宋" w:eastAsia="仿宋" w:cs="仿宋"/>
                <w:b/>
                <w:color w:val="000000"/>
                <w:kern w:val="0"/>
                <w:sz w:val="24"/>
                <w:szCs w:val="24"/>
                <w:lang w:val="en-US" w:eastAsia="zh-CN" w:bidi="ar"/>
              </w:rPr>
              <w:t>融入点</w:t>
            </w:r>
          </w:p>
        </w:tc>
        <w:tc>
          <w:tcPr>
            <w:tcW w:w="4018" w:type="dxa"/>
            <w:vAlign w:val="center"/>
          </w:tcPr>
          <w:p>
            <w:pPr>
              <w:keepNext w:val="0"/>
              <w:keepLines w:val="0"/>
              <w:widowControl/>
              <w:suppressLineNumbers w:val="0"/>
              <w:jc w:val="center"/>
              <w:rPr>
                <w:rFonts w:hint="eastAsia" w:eastAsiaTheme="minorEastAsia"/>
                <w:vertAlign w:val="baseline"/>
                <w:lang w:eastAsia="zh-CN"/>
              </w:rPr>
            </w:pPr>
            <w:r>
              <w:rPr>
                <w:rFonts w:ascii="仿宋" w:hAnsi="仿宋" w:eastAsia="仿宋" w:cs="仿宋"/>
                <w:b/>
                <w:color w:val="000000"/>
                <w:kern w:val="0"/>
                <w:sz w:val="24"/>
                <w:szCs w:val="24"/>
                <w:lang w:val="en-US" w:eastAsia="zh-CN" w:bidi="ar"/>
              </w:rPr>
              <w:t>课程思政教学设计</w:t>
            </w:r>
          </w:p>
        </w:tc>
        <w:tc>
          <w:tcPr>
            <w:tcW w:w="2131" w:type="dxa"/>
            <w:vAlign w:val="center"/>
          </w:tcPr>
          <w:p>
            <w:pPr>
              <w:keepNext w:val="0"/>
              <w:keepLines w:val="0"/>
              <w:widowControl/>
              <w:suppressLineNumbers w:val="0"/>
              <w:jc w:val="center"/>
              <w:rPr>
                <w:rFonts w:hint="eastAsia" w:eastAsiaTheme="minorEastAsia"/>
                <w:vertAlign w:val="baseline"/>
                <w:lang w:eastAsia="zh-CN"/>
              </w:rPr>
            </w:pPr>
            <w:r>
              <w:rPr>
                <w:rFonts w:ascii="仿宋" w:hAnsi="仿宋" w:eastAsia="仿宋" w:cs="仿宋"/>
                <w:b/>
                <w:color w:val="000000"/>
                <w:kern w:val="0"/>
                <w:sz w:val="24"/>
                <w:szCs w:val="24"/>
                <w:lang w:val="en-US" w:eastAsia="zh-CN" w:bidi="ar"/>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both"/>
              <w:rPr>
                <w:sz w:val="20"/>
                <w:szCs w:val="22"/>
              </w:rPr>
            </w:pPr>
            <w:r>
              <w:rPr>
                <w:rFonts w:ascii="仿宋" w:hAnsi="仿宋" w:eastAsia="仿宋" w:cs="仿宋"/>
                <w:color w:val="000000"/>
                <w:kern w:val="0"/>
                <w:sz w:val="22"/>
                <w:szCs w:val="22"/>
                <w:lang w:val="en-US" w:eastAsia="zh-CN" w:bidi="ar"/>
              </w:rPr>
              <w:t>绪论</w:t>
            </w:r>
          </w:p>
          <w:p>
            <w:pPr>
              <w:jc w:val="both"/>
              <w:rPr>
                <w:rFonts w:hint="eastAsia" w:eastAsiaTheme="minorEastAsia"/>
                <w:sz w:val="20"/>
                <w:szCs w:val="22"/>
                <w:vertAlign w:val="baseline"/>
                <w:lang w:eastAsia="zh-CN"/>
              </w:rPr>
            </w:pPr>
          </w:p>
        </w:tc>
        <w:tc>
          <w:tcPr>
            <w:tcW w:w="1446" w:type="dxa"/>
            <w:vAlign w:val="center"/>
          </w:tcPr>
          <w:p>
            <w:pPr>
              <w:keepNext w:val="0"/>
              <w:keepLines w:val="0"/>
              <w:widowControl/>
              <w:suppressLineNumbers w:val="0"/>
              <w:jc w:val="both"/>
              <w:rPr>
                <w:rFonts w:hint="default"/>
                <w:sz w:val="20"/>
                <w:szCs w:val="22"/>
                <w:lang w:val="en-US"/>
              </w:rPr>
            </w:pPr>
            <w:r>
              <w:rPr>
                <w:rFonts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val="en-US" w:eastAsia="zh-CN" w:bidi="ar"/>
              </w:rPr>
              <w:t>全球视野</w:t>
            </w:r>
          </w:p>
          <w:p>
            <w:pPr>
              <w:jc w:val="both"/>
              <w:rPr>
                <w:rFonts w:hint="eastAsia" w:eastAsiaTheme="minorEastAsia"/>
                <w:sz w:val="20"/>
                <w:szCs w:val="22"/>
                <w:vertAlign w:val="baseline"/>
                <w:lang w:eastAsia="zh-CN"/>
              </w:rPr>
            </w:pPr>
          </w:p>
        </w:tc>
        <w:tc>
          <w:tcPr>
            <w:tcW w:w="4018" w:type="dxa"/>
            <w:vAlign w:val="center"/>
          </w:tcPr>
          <w:p>
            <w:pPr>
              <w:keepNext w:val="0"/>
              <w:keepLines w:val="0"/>
              <w:widowControl/>
              <w:suppressLineNumbers w:val="0"/>
              <w:jc w:val="both"/>
              <w:rPr>
                <w:sz w:val="20"/>
                <w:szCs w:val="22"/>
              </w:rPr>
            </w:pPr>
            <w:r>
              <w:rPr>
                <w:rFonts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val="en-US" w:eastAsia="zh-CN" w:bidi="ar"/>
              </w:rPr>
              <w:t>在讲授世界水彩发展历史时，会介绍外国著名水彩画家及其作品，如丢勒、保罗·桑德比、柯岑斯、威廉·透纳、安德鲁·怀斯、理查德·伯宁顿等。使学生不仅熟悉本国历史与传统绘画，也要学习世界优秀文明成果，在国际比较中认识中国特色，把握世界大势和时代潮流，培养建立全球视野，世界眼光。</w:t>
            </w:r>
          </w:p>
          <w:p>
            <w:pPr>
              <w:keepNext w:val="0"/>
              <w:keepLines w:val="0"/>
              <w:widowControl/>
              <w:suppressLineNumbers w:val="0"/>
              <w:jc w:val="both"/>
              <w:rPr>
                <w:rFonts w:hint="eastAsia" w:eastAsiaTheme="minorEastAsia"/>
                <w:sz w:val="20"/>
                <w:szCs w:val="22"/>
                <w:vertAlign w:val="baseline"/>
                <w:lang w:eastAsia="zh-CN"/>
              </w:rPr>
            </w:pPr>
          </w:p>
        </w:tc>
        <w:tc>
          <w:tcPr>
            <w:tcW w:w="2131" w:type="dxa"/>
            <w:vAlign w:val="center"/>
          </w:tcPr>
          <w:p>
            <w:pPr>
              <w:keepNext w:val="0"/>
              <w:keepLines w:val="0"/>
              <w:widowControl/>
              <w:numPr>
                <w:ilvl w:val="0"/>
                <w:numId w:val="1"/>
              </w:numPr>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学员建立全球视野。</w:t>
            </w:r>
          </w:p>
          <w:p>
            <w:pPr>
              <w:jc w:val="both"/>
              <w:rPr>
                <w:rFonts w:hint="eastAsia" w:eastAsiaTheme="minorEastAsia"/>
                <w:sz w:val="20"/>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both"/>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园林美术基础</w:t>
            </w:r>
          </w:p>
        </w:tc>
        <w:tc>
          <w:tcPr>
            <w:tcW w:w="1446" w:type="dxa"/>
            <w:vAlign w:val="center"/>
          </w:tcPr>
          <w:p>
            <w:pPr>
              <w:keepNext w:val="0"/>
              <w:keepLines w:val="0"/>
              <w:widowControl/>
              <w:numPr>
                <w:ilvl w:val="0"/>
                <w:numId w:val="2"/>
              </w:numPr>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文化自信</w:t>
            </w:r>
          </w:p>
          <w:p>
            <w:pPr>
              <w:keepNext w:val="0"/>
              <w:keepLines w:val="0"/>
              <w:widowControl/>
              <w:numPr>
                <w:ilvl w:val="0"/>
                <w:numId w:val="2"/>
              </w:numPr>
              <w:suppressLineNumbers w:val="0"/>
              <w:jc w:val="both"/>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生态自然</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p>
        </w:tc>
        <w:tc>
          <w:tcPr>
            <w:tcW w:w="4018" w:type="dxa"/>
            <w:vAlign w:val="center"/>
          </w:tcPr>
          <w:p>
            <w:pPr>
              <w:keepNext w:val="0"/>
              <w:keepLines w:val="0"/>
              <w:widowControl/>
              <w:numPr>
                <w:ilvl w:val="0"/>
                <w:numId w:val="3"/>
              </w:numPr>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教学有中国传统民居、中国古典园林图片让学生进行改绘，除了讲解构图和绘画技巧，还会引入其背后的精神内涵，让同学们能体会中国古人的哲学观、伦理观、道德观，还能真的读懂中国古典园林的文韵巧思，除了激发学生对本专业的兴趣还能树立强大的文化自信和爱国情怀。</w:t>
            </w:r>
          </w:p>
          <w:p>
            <w:pPr>
              <w:keepNext w:val="0"/>
              <w:keepLines w:val="0"/>
              <w:widowControl/>
              <w:numPr>
                <w:numId w:val="0"/>
              </w:numPr>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初期的教学内容会以纯自然风景作为绘画对象，除了讲解构图和绘画技巧，还会引导学生思考人与自然的关系，培养学生热爱自然、尊重自然、敬畏自然。特别是作为风景园林专业的学生更要积极倡导环保意识，树立生态文明绿色发展理念，维护物种多样性和生态系统。风景园林人更要心怀生态自然的理念，构建绿色生态格局。</w:t>
            </w:r>
          </w:p>
        </w:tc>
        <w:tc>
          <w:tcPr>
            <w:tcW w:w="2131" w:type="dxa"/>
            <w:vAlign w:val="center"/>
          </w:tcPr>
          <w:p>
            <w:pPr>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1.树立文化自信</w:t>
            </w:r>
          </w:p>
          <w:p>
            <w:pPr>
              <w:jc w:val="both"/>
              <w:rPr>
                <w:rFonts w:hint="eastAsia" w:eastAsiaTheme="minorEastAsia"/>
                <w:sz w:val="20"/>
                <w:szCs w:val="22"/>
                <w:vertAlign w:val="baseline"/>
                <w:lang w:eastAsia="zh-CN"/>
              </w:rPr>
            </w:pPr>
            <w:r>
              <w:rPr>
                <w:rFonts w:hint="eastAsia" w:ascii="仿宋" w:hAnsi="仿宋" w:eastAsia="仿宋" w:cs="仿宋"/>
                <w:color w:val="000000"/>
                <w:kern w:val="0"/>
                <w:sz w:val="22"/>
                <w:szCs w:val="22"/>
                <w:lang w:val="en-US" w:eastAsia="zh-CN" w:bidi="ar"/>
              </w:rPr>
              <w:t>2.心怀生态自然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jc w:val="both"/>
              <w:rPr>
                <w:rFonts w:hint="default" w:eastAsiaTheme="minorEastAsia"/>
                <w:vertAlign w:val="baseline"/>
                <w:lang w:val="en-US" w:eastAsia="zh-CN"/>
              </w:rPr>
            </w:pPr>
            <w:r>
              <w:rPr>
                <w:rFonts w:hint="eastAsia" w:ascii="仿宋" w:hAnsi="仿宋" w:eastAsia="仿宋" w:cs="仿宋"/>
                <w:color w:val="000000"/>
                <w:kern w:val="0"/>
                <w:sz w:val="22"/>
                <w:szCs w:val="22"/>
                <w:lang w:val="en-US" w:eastAsia="zh-CN" w:bidi="ar"/>
              </w:rPr>
              <w:t>园林美术史</w:t>
            </w:r>
          </w:p>
        </w:tc>
        <w:tc>
          <w:tcPr>
            <w:tcW w:w="1446"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1.培养学员</w:t>
            </w:r>
          </w:p>
          <w:p>
            <w:pPr>
              <w:keepNext w:val="0"/>
              <w:keepLines w:val="0"/>
              <w:widowControl/>
              <w:suppressLineNumbers w:val="0"/>
              <w:jc w:val="both"/>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社会责任</w:t>
            </w:r>
          </w:p>
        </w:tc>
        <w:tc>
          <w:tcPr>
            <w:tcW w:w="4018"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在讲授中国水彩发展历史时，会介绍中国近现代的水彩画家及其作品，如梁思成、林徽因、杨廷宝、童寯等即是建筑师、建筑教育家又在水彩绘画上有造诣。除了品鉴他们的作品，还可以通过讲解他们的事迹引入思政内容。如童寯老师还进行江南古典园林研究，是中国近代造园理论研究的开拓者。他用工作余暇遍访苏、浙、沪60多处园林，只身一人不辞劳苦踏勘、调查、测绘、摄影，又广为收集资料文献，1937年，完成《江南园林志》一书，这是近代最早一部用科学方法论述中国造园理论的专著。童寯老师不求名利，只是抱着抢救和担忧在研究园林，是勇担社会责任的体现，也是其爱国情怀的体现。</w:t>
            </w:r>
          </w:p>
        </w:tc>
        <w:tc>
          <w:tcPr>
            <w:tcW w:w="2131" w:type="dxa"/>
            <w:vAlign w:val="center"/>
          </w:tcPr>
          <w:p>
            <w:pPr>
              <w:keepNext w:val="0"/>
              <w:keepLines w:val="0"/>
              <w:widowControl/>
              <w:suppressLineNumbers w:val="0"/>
              <w:jc w:val="both"/>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1.培养学员社会责任</w:t>
            </w:r>
          </w:p>
          <w:p>
            <w:pPr>
              <w:jc w:val="both"/>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both"/>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表现技法</w:t>
            </w:r>
          </w:p>
        </w:tc>
        <w:tc>
          <w:tcPr>
            <w:tcW w:w="1446" w:type="dxa"/>
            <w:vAlign w:val="center"/>
          </w:tcPr>
          <w:p>
            <w:pPr>
              <w:keepNext w:val="0"/>
              <w:keepLines w:val="0"/>
              <w:widowControl/>
              <w:suppressLineNumbers w:val="0"/>
              <w:jc w:val="both"/>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1.家国情怀</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p>
        </w:tc>
        <w:tc>
          <w:tcPr>
            <w:tcW w:w="4018"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在进行水彩表现技法讲授时，会适当讲解中国传统山水画的一些笔法。如勾勒、皴擦、点簇、扫刷、聚峰、秃笔等。也会品鉴一些中国传统山水的佳作。一方面作为风景园林专业的学生需要通过品鉴文人雅士的山水画提升素养，提升园林审美。另一方面，品鉴中国山水画的形态、笔墨、神韵和精神。从山水的自然到气韵的精神，中国山水画的文脉流转与意境追求与中国艺术推崇的“写意”一脉相承。从某种意义上来说，它所呈现的实际上是一部中国思想史。通过鉴赏中国山水画，感悟中国山水画的意境，激发学生对传统文化和中华传统美德的热爱，涵养学生的家国情怀。</w:t>
            </w:r>
          </w:p>
        </w:tc>
        <w:tc>
          <w:tcPr>
            <w:tcW w:w="2131" w:type="dxa"/>
            <w:vAlign w:val="center"/>
          </w:tcPr>
          <w:p>
            <w:pPr>
              <w:keepNext w:val="0"/>
              <w:keepLines w:val="0"/>
              <w:widowControl/>
              <w:suppressLineNumbers w:val="0"/>
              <w:jc w:val="both"/>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1.涵养家国情怀</w:t>
            </w:r>
          </w:p>
          <w:p>
            <w:pPr>
              <w:jc w:val="both"/>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both"/>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优秀案例临摹</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p>
        </w:tc>
        <w:tc>
          <w:tcPr>
            <w:tcW w:w="1446" w:type="dxa"/>
            <w:vAlign w:val="center"/>
          </w:tcPr>
          <w:p>
            <w:pPr>
              <w:keepNext w:val="0"/>
              <w:keepLines w:val="0"/>
              <w:widowControl/>
              <w:suppressLineNumbers w:val="0"/>
              <w:jc w:val="both"/>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1.工匠精神</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p>
        </w:tc>
        <w:tc>
          <w:tcPr>
            <w:tcW w:w="4018"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在美术的基础教学中，临摹是非常重要的教学手段之一。学生通过临摹作品，学习相关绘画技法和艺术语言的组织。在本课程中，教师会精心挑选名家名作，如华宜玉、李剑晨、王振卫、简忠威等现代画家的建筑水彩作品。通过摹形，摹色，摹笔法，摹气韵，在绘画过程中千锤百炼，精益求精。引导将绘画过程与工匠精神联系起来。工匠精神的内涵是执着专注、一丝不苟、追求卓越。其中，执着专注是精神状态，是时间上的坚持、精神上的聚焦。精益求精是品质追求，是质量上的完美、技术上的极致。一丝不苟是自身要求，是细节上的坚守、态度上的严谨。追求卓越是理想信念，是理想上的远大、信念上的高远。工匠精神既体现敬业之美的精神原色，又表现创造之美的品质追求，更展现追求之美的价值升华。</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p>
        </w:tc>
        <w:tc>
          <w:tcPr>
            <w:tcW w:w="2131" w:type="dxa"/>
            <w:vAlign w:val="center"/>
          </w:tcPr>
          <w:p>
            <w:pPr>
              <w:keepNext w:val="0"/>
              <w:keepLines w:val="0"/>
              <w:widowControl/>
              <w:suppressLineNumbers w:val="0"/>
              <w:jc w:val="both"/>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1.传承工匠精神</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p>
        </w:tc>
      </w:tr>
    </w:tbl>
    <w:p>
      <w:pPr>
        <w:keepNext w:val="0"/>
        <w:keepLines w:val="0"/>
        <w:widowControl/>
        <w:suppressLineNumbers w:val="0"/>
        <w:jc w:val="both"/>
        <w:rPr>
          <w:rFonts w:hint="eastAsia" w:ascii="仿宋" w:hAnsi="仿宋" w:eastAsia="仿宋" w:cs="仿宋"/>
          <w:color w:val="000000"/>
          <w:kern w:val="0"/>
          <w:sz w:val="22"/>
          <w:szCs w:val="22"/>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C4EA5"/>
    <w:multiLevelType w:val="singleLevel"/>
    <w:tmpl w:val="97CC4EA5"/>
    <w:lvl w:ilvl="0" w:tentative="0">
      <w:start w:val="1"/>
      <w:numFmt w:val="decimal"/>
      <w:lvlText w:val="%1."/>
      <w:lvlJc w:val="left"/>
      <w:pPr>
        <w:tabs>
          <w:tab w:val="left" w:pos="312"/>
        </w:tabs>
      </w:pPr>
    </w:lvl>
  </w:abstractNum>
  <w:abstractNum w:abstractNumId="1">
    <w:nsid w:val="0AADF4EE"/>
    <w:multiLevelType w:val="singleLevel"/>
    <w:tmpl w:val="0AADF4EE"/>
    <w:lvl w:ilvl="0" w:tentative="0">
      <w:start w:val="1"/>
      <w:numFmt w:val="decimal"/>
      <w:lvlText w:val="%1."/>
      <w:lvlJc w:val="left"/>
      <w:pPr>
        <w:tabs>
          <w:tab w:val="left" w:pos="312"/>
        </w:tabs>
      </w:pPr>
    </w:lvl>
  </w:abstractNum>
  <w:abstractNum w:abstractNumId="2">
    <w:nsid w:val="2714BF99"/>
    <w:multiLevelType w:val="singleLevel"/>
    <w:tmpl w:val="2714BF9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317B453C"/>
    <w:rsid w:val="5B2A768F"/>
    <w:rsid w:val="648D73DE"/>
    <w:rsid w:val="6C440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2237</Words>
  <Characters>2286</Characters>
  <Lines>0</Lines>
  <Paragraphs>0</Paragraphs>
  <TotalTime>3</TotalTime>
  <ScaleCrop>false</ScaleCrop>
  <LinksUpToDate>false</LinksUpToDate>
  <CharactersWithSpaces>2324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guoto_000</dc:creator>
  <cp:lastModifiedBy>Administrator</cp:lastModifiedBy>
  <dcterms:modified xsi:type="dcterms:W3CDTF">2023-07-18T08:15:32Z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39F02E4727C442A5861A5224522C1CEE_12</vt:lpwstr>
  </property>
</Properties>
</file>