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/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1020428</wp:posOffset>
            </wp:positionH>
            <wp:positionV relativeFrom="page">
              <wp:posOffset>3338632</wp:posOffset>
            </wp:positionV>
            <wp:extent cx="5544731" cy="10159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44731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/>
      </w:pPr>
      <w:r/>
    </w:p>
    <w:p>
      <w:pPr>
        <w:spacing w:line="147" w:lineRule="exact"/>
        <w:rPr/>
      </w:pPr>
      <w:r/>
    </w:p>
    <w:tbl>
      <w:tblPr>
        <w:tblStyle w:val="2"/>
        <w:tblW w:w="8646" w:type="dxa"/>
        <w:tblInd w:w="68" w:type="dxa"/>
        <w:tblLayout w:type="fixed"/>
        <w:tblBorders>
          <w:left w:val="single" w:color="FFFFFF" w:sz="8" w:space="0"/>
          <w:bottom w:val="single" w:color="FFFFFF" w:sz="8" w:space="0"/>
          <w:right w:val="single" w:color="FFFFFF" w:sz="8" w:space="0"/>
          <w:top w:val="single" w:color="FFFFFF" w:sz="8" w:space="0"/>
        </w:tblBorders>
      </w:tblPr>
      <w:tblGrid>
        <w:gridCol w:w="8646"/>
      </w:tblGrid>
      <w:tr>
        <w:trPr>
          <w:trHeight w:val="1593" w:hRule="atLeast"/>
        </w:trPr>
        <w:tc>
          <w:tcPr>
            <w:tcW w:w="8646" w:type="dxa"/>
            <w:vAlign w:val="top"/>
          </w:tcPr>
          <w:p>
            <w:pPr>
              <w:ind w:left="1025"/>
              <w:spacing w:before="365" w:line="217" w:lineRule="auto"/>
              <w:rPr>
                <w:rFonts w:ascii="SimSun" w:hAnsi="SimSun" w:eastAsia="SimSun" w:cs="SimSun"/>
                <w:sz w:val="100"/>
                <w:szCs w:val="100"/>
              </w:rPr>
            </w:pPr>
            <w:r>
              <w:rPr>
                <w:rFonts w:ascii="SimSun" w:hAnsi="SimSun" w:eastAsia="SimSun" w:cs="SimSun"/>
                <w:sz w:val="100"/>
                <w:szCs w:val="100"/>
                <w:color w:val="FF0000"/>
                <w:spacing w:val="-91"/>
                <w:w w:val="90"/>
              </w:rPr>
              <w:t>河</w:t>
            </w:r>
            <w:r>
              <w:rPr>
                <w:rFonts w:ascii="SimSun" w:hAnsi="SimSun" w:eastAsia="SimSun" w:cs="SimSun"/>
                <w:sz w:val="100"/>
                <w:szCs w:val="100"/>
                <w:color w:val="FF0000"/>
                <w:spacing w:val="-72"/>
              </w:rPr>
              <w:t xml:space="preserve"> </w:t>
            </w:r>
            <w:r>
              <w:rPr>
                <w:rFonts w:ascii="SimSun" w:hAnsi="SimSun" w:eastAsia="SimSun" w:cs="SimSun"/>
                <w:sz w:val="100"/>
                <w:szCs w:val="100"/>
                <w:color w:val="FF0000"/>
                <w:spacing w:val="-91"/>
                <w:w w:val="90"/>
              </w:rPr>
              <w:t>南</w:t>
            </w:r>
            <w:r>
              <w:rPr>
                <w:rFonts w:ascii="SimSun" w:hAnsi="SimSun" w:eastAsia="SimSun" w:cs="SimSun"/>
                <w:sz w:val="100"/>
                <w:szCs w:val="100"/>
                <w:color w:val="FF0000"/>
                <w:spacing w:val="-119"/>
              </w:rPr>
              <w:t xml:space="preserve"> </w:t>
            </w:r>
            <w:r>
              <w:rPr>
                <w:rFonts w:ascii="SimSun" w:hAnsi="SimSun" w:eastAsia="SimSun" w:cs="SimSun"/>
                <w:sz w:val="100"/>
                <w:szCs w:val="100"/>
                <w:color w:val="FF0000"/>
                <w:spacing w:val="-91"/>
                <w:w w:val="90"/>
              </w:rPr>
              <w:t>省</w:t>
            </w:r>
            <w:r>
              <w:rPr>
                <w:rFonts w:ascii="SimSun" w:hAnsi="SimSun" w:eastAsia="SimSun" w:cs="SimSun"/>
                <w:sz w:val="100"/>
                <w:szCs w:val="100"/>
                <w:color w:val="FF0000"/>
                <w:spacing w:val="-123"/>
              </w:rPr>
              <w:t xml:space="preserve"> </w:t>
            </w:r>
            <w:r>
              <w:rPr>
                <w:rFonts w:ascii="SimSun" w:hAnsi="SimSun" w:eastAsia="SimSun" w:cs="SimSun"/>
                <w:sz w:val="100"/>
                <w:szCs w:val="100"/>
                <w:color w:val="FF0000"/>
                <w:spacing w:val="-91"/>
                <w:w w:val="90"/>
              </w:rPr>
              <w:t>教</w:t>
            </w:r>
            <w:r>
              <w:rPr>
                <w:rFonts w:ascii="SimSun" w:hAnsi="SimSun" w:eastAsia="SimSun" w:cs="SimSun"/>
                <w:sz w:val="100"/>
                <w:szCs w:val="100"/>
                <w:color w:val="FF0000"/>
                <w:spacing w:val="-112"/>
              </w:rPr>
              <w:t xml:space="preserve"> </w:t>
            </w:r>
            <w:r>
              <w:rPr>
                <w:rFonts w:ascii="SimSun" w:hAnsi="SimSun" w:eastAsia="SimSun" w:cs="SimSun"/>
                <w:sz w:val="100"/>
                <w:szCs w:val="100"/>
                <w:color w:val="FF0000"/>
                <w:spacing w:val="-91"/>
                <w:w w:val="90"/>
              </w:rPr>
              <w:t>育</w:t>
            </w:r>
            <w:r>
              <w:rPr>
                <w:rFonts w:ascii="SimSun" w:hAnsi="SimSun" w:eastAsia="SimSun" w:cs="SimSun"/>
                <w:sz w:val="100"/>
                <w:szCs w:val="100"/>
                <w:color w:val="FF0000"/>
                <w:spacing w:val="-136"/>
              </w:rPr>
              <w:t xml:space="preserve"> </w:t>
            </w:r>
            <w:r>
              <w:rPr>
                <w:rFonts w:ascii="SimSun" w:hAnsi="SimSun" w:eastAsia="SimSun" w:cs="SimSun"/>
                <w:sz w:val="100"/>
                <w:szCs w:val="100"/>
                <w:color w:val="FF0000"/>
                <w:spacing w:val="-91"/>
                <w:w w:val="90"/>
              </w:rPr>
              <w:t>厅</w:t>
            </w:r>
          </w:p>
        </w:tc>
      </w:tr>
    </w:tbl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3026"/>
        <w:spacing w:before="10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教职</w:t>
      </w:r>
      <w:r>
        <w:rPr>
          <w:rFonts w:ascii="FangSong" w:hAnsi="FangSong" w:eastAsia="FangSong" w:cs="FangSong"/>
          <w:sz w:val="31"/>
          <w:szCs w:val="31"/>
          <w:spacing w:val="1"/>
        </w:rPr>
        <w:t>成〔2023〕16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号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2619"/>
        <w:spacing w:before="140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8"/>
        </w:rPr>
        <w:t>河</w:t>
      </w:r>
      <w:r>
        <w:rPr>
          <w:rFonts w:ascii="SimSun" w:hAnsi="SimSun" w:eastAsia="SimSun" w:cs="SimSun"/>
          <w:sz w:val="43"/>
          <w:szCs w:val="43"/>
          <w:spacing w:val="8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8"/>
        </w:rPr>
        <w:t>南</w:t>
      </w:r>
      <w:r>
        <w:rPr>
          <w:rFonts w:ascii="SimSun" w:hAnsi="SimSun" w:eastAsia="SimSun" w:cs="SimSun"/>
          <w:sz w:val="43"/>
          <w:szCs w:val="43"/>
          <w:spacing w:val="8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8"/>
        </w:rPr>
        <w:t>省</w:t>
      </w:r>
      <w:r>
        <w:rPr>
          <w:rFonts w:ascii="SimSun" w:hAnsi="SimSun" w:eastAsia="SimSun" w:cs="SimSun"/>
          <w:sz w:val="43"/>
          <w:szCs w:val="43"/>
          <w:spacing w:val="8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8"/>
        </w:rPr>
        <w:t>教</w:t>
      </w:r>
      <w:r>
        <w:rPr>
          <w:rFonts w:ascii="SimSun" w:hAnsi="SimSun" w:eastAsia="SimSun" w:cs="SimSun"/>
          <w:sz w:val="43"/>
          <w:szCs w:val="43"/>
          <w:spacing w:val="8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8"/>
        </w:rPr>
        <w:t>育</w:t>
      </w:r>
      <w:r>
        <w:rPr>
          <w:rFonts w:ascii="SimSun" w:hAnsi="SimSun" w:eastAsia="SimSun" w:cs="SimSun"/>
          <w:sz w:val="43"/>
          <w:szCs w:val="43"/>
          <w:spacing w:val="8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6"/>
        </w:rPr>
        <w:t>厅</w:t>
      </w:r>
    </w:p>
    <w:p>
      <w:pPr>
        <w:ind w:left="89"/>
        <w:spacing w:before="156" w:line="22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12"/>
        </w:rPr>
        <w:t>关</w:t>
      </w:r>
      <w:r>
        <w:rPr>
          <w:rFonts w:ascii="SimSun" w:hAnsi="SimSun" w:eastAsia="SimSun" w:cs="SimSun"/>
          <w:sz w:val="43"/>
          <w:szCs w:val="43"/>
          <w:spacing w:val="10"/>
        </w:rPr>
        <w:t>于开展河南省职业教育示范性专业点建设的</w:t>
      </w:r>
    </w:p>
    <w:p>
      <w:pPr>
        <w:ind w:left="3174"/>
        <w:spacing w:before="158" w:line="215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8"/>
        </w:rPr>
        <w:t>通</w:t>
      </w:r>
      <w:r>
        <w:rPr>
          <w:rFonts w:ascii="SimSun" w:hAnsi="SimSun" w:eastAsia="SimSun" w:cs="SimSun"/>
          <w:sz w:val="43"/>
          <w:szCs w:val="43"/>
          <w:spacing w:val="5"/>
        </w:rPr>
        <w:t xml:space="preserve">        </w:t>
      </w:r>
      <w:r>
        <w:rPr>
          <w:rFonts w:ascii="SimSun" w:hAnsi="SimSun" w:eastAsia="SimSun" w:cs="SimSun"/>
          <w:sz w:val="43"/>
          <w:szCs w:val="43"/>
          <w:spacing w:val="5"/>
        </w:rPr>
        <w:t>知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right="9" w:firstLine="1"/>
        <w:spacing w:before="101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2"/>
        </w:rPr>
        <w:t>各</w:t>
      </w:r>
      <w:r>
        <w:rPr>
          <w:rFonts w:ascii="FangSong" w:hAnsi="FangSong" w:eastAsia="FangSong" w:cs="FangSong"/>
          <w:sz w:val="31"/>
          <w:szCs w:val="31"/>
          <w:spacing w:val="20"/>
        </w:rPr>
        <w:t>省</w:t>
      </w:r>
      <w:r>
        <w:rPr>
          <w:rFonts w:ascii="FangSong" w:hAnsi="FangSong" w:eastAsia="FangSong" w:cs="FangSong"/>
          <w:sz w:val="31"/>
          <w:szCs w:val="31"/>
          <w:spacing w:val="16"/>
        </w:rPr>
        <w:t>辖市、济源示范区、省直管县(市)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教育局，各高等职业学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校</w:t>
      </w:r>
      <w:r>
        <w:rPr>
          <w:rFonts w:ascii="FangSong" w:hAnsi="FangSong" w:eastAsia="FangSong" w:cs="FangSong"/>
          <w:sz w:val="31"/>
          <w:szCs w:val="31"/>
          <w:spacing w:val="8"/>
        </w:rPr>
        <w:t>，</w:t>
      </w:r>
      <w:r>
        <w:rPr>
          <w:rFonts w:ascii="FangSong" w:hAnsi="FangSong" w:eastAsia="FangSong" w:cs="FangSong"/>
          <w:sz w:val="31"/>
          <w:szCs w:val="31"/>
          <w:spacing w:val="7"/>
        </w:rPr>
        <w:t>各省属中等职业学校：</w:t>
      </w:r>
    </w:p>
    <w:p>
      <w:pPr>
        <w:ind w:firstLine="653"/>
        <w:spacing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为</w:t>
      </w:r>
      <w:r>
        <w:rPr>
          <w:rFonts w:ascii="FangSong" w:hAnsi="FangSong" w:eastAsia="FangSong" w:cs="FangSong"/>
          <w:sz w:val="31"/>
          <w:szCs w:val="31"/>
          <w:spacing w:val="11"/>
        </w:rPr>
        <w:t>深入贯彻党的二十大精神，深化职业教育职普融通、产教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融</w:t>
      </w:r>
      <w:r>
        <w:rPr>
          <w:rFonts w:ascii="FangSong" w:hAnsi="FangSong" w:eastAsia="FangSong" w:cs="FangSong"/>
          <w:sz w:val="31"/>
          <w:szCs w:val="31"/>
          <w:spacing w:val="12"/>
        </w:rPr>
        <w:t>合、科教融汇，优化职业教育类型定位，全面落实中共中央办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公厅</w:t>
      </w:r>
      <w:r>
        <w:rPr>
          <w:rFonts w:ascii="FangSong" w:hAnsi="FangSong" w:eastAsia="FangSong" w:cs="FangSong"/>
          <w:sz w:val="31"/>
          <w:szCs w:val="31"/>
          <w:spacing w:val="1"/>
        </w:rPr>
        <w:t>、国务院办公厅印发的《关于深化现代职业教育体系建设改革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的</w:t>
      </w:r>
      <w:r>
        <w:rPr>
          <w:rFonts w:ascii="FangSong" w:hAnsi="FangSong" w:eastAsia="FangSong" w:cs="FangSong"/>
          <w:sz w:val="31"/>
          <w:szCs w:val="31"/>
          <w:spacing w:val="18"/>
        </w:rPr>
        <w:t>意</w:t>
      </w:r>
      <w:r>
        <w:rPr>
          <w:rFonts w:ascii="FangSong" w:hAnsi="FangSong" w:eastAsia="FangSong" w:cs="FangSong"/>
          <w:sz w:val="31"/>
          <w:szCs w:val="31"/>
          <w:spacing w:val="11"/>
        </w:rPr>
        <w:t>见》以及省委办公厅、省政府办公厅印发的《关于推动现代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职</w:t>
      </w:r>
      <w:r>
        <w:rPr>
          <w:rFonts w:ascii="FangSong" w:hAnsi="FangSong" w:eastAsia="FangSong" w:cs="FangSong"/>
          <w:sz w:val="31"/>
          <w:szCs w:val="31"/>
          <w:spacing w:val="6"/>
        </w:rPr>
        <w:t>业教育高质量发展的实施意见》，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加快打造国家职业教育创新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发</w:t>
      </w:r>
      <w:r>
        <w:rPr>
          <w:rFonts w:ascii="FangSong" w:hAnsi="FangSong" w:eastAsia="FangSong" w:cs="FangSong"/>
          <w:sz w:val="31"/>
          <w:szCs w:val="31"/>
          <w:spacing w:val="19"/>
        </w:rPr>
        <w:t>展</w:t>
      </w:r>
      <w:r>
        <w:rPr>
          <w:rFonts w:ascii="FangSong" w:hAnsi="FangSong" w:eastAsia="FangSong" w:cs="FangSong"/>
          <w:sz w:val="31"/>
          <w:szCs w:val="31"/>
          <w:spacing w:val="11"/>
        </w:rPr>
        <w:t>高地，高质量推进“人人持证、技能河南”建设，推动职业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教育结构与产业结构优化匹配，提升职业院校服务经济社会发</w:t>
      </w:r>
      <w:r>
        <w:rPr>
          <w:rFonts w:ascii="FangSong" w:hAnsi="FangSong" w:eastAsia="FangSong" w:cs="FangSong"/>
          <w:sz w:val="31"/>
          <w:szCs w:val="31"/>
          <w:spacing w:val="7"/>
        </w:rPr>
        <w:t>展</w:t>
      </w:r>
    </w:p>
    <w:p>
      <w:pPr>
        <w:sectPr>
          <w:footerReference w:type="default" r:id="rId1"/>
          <w:pgSz w:w="11906" w:h="16838"/>
          <w:pgMar w:top="1431" w:right="1332" w:bottom="1926" w:left="1551" w:header="0" w:footer="1638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ind w:left="28" w:right="99" w:firstLine="18"/>
        <w:spacing w:before="101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能</w:t>
      </w:r>
      <w:r>
        <w:rPr>
          <w:rFonts w:ascii="FangSong" w:hAnsi="FangSong" w:eastAsia="FangSong" w:cs="FangSong"/>
          <w:sz w:val="31"/>
          <w:szCs w:val="31"/>
          <w:spacing w:val="11"/>
        </w:rPr>
        <w:t>力，按照省委、省政府部署，决定开展省级职业教育示范性专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业</w:t>
      </w:r>
      <w:r>
        <w:rPr>
          <w:rFonts w:ascii="FangSong" w:hAnsi="FangSong" w:eastAsia="FangSong" w:cs="FangSong"/>
          <w:sz w:val="31"/>
          <w:szCs w:val="31"/>
        </w:rPr>
        <w:t>点建设工作，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现就有关事宜通知如下。</w:t>
      </w:r>
    </w:p>
    <w:p>
      <w:pPr>
        <w:ind w:left="666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一</w:t>
      </w:r>
      <w:r>
        <w:rPr>
          <w:rFonts w:ascii="SimHei" w:hAnsi="SimHei" w:eastAsia="SimHei" w:cs="SimHei"/>
          <w:sz w:val="31"/>
          <w:szCs w:val="31"/>
          <w:spacing w:val="7"/>
        </w:rPr>
        <w:t>、总体要求</w:t>
      </w:r>
    </w:p>
    <w:p>
      <w:pPr>
        <w:ind w:left="702"/>
        <w:spacing w:before="205" w:line="228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以</w:t>
      </w:r>
      <w:r>
        <w:rPr>
          <w:rFonts w:ascii="FangSong" w:hAnsi="FangSong" w:eastAsia="FangSong" w:cs="FangSong"/>
          <w:sz w:val="31"/>
          <w:szCs w:val="31"/>
          <w:spacing w:val="14"/>
        </w:rPr>
        <w:t>习</w:t>
      </w:r>
      <w:r>
        <w:rPr>
          <w:rFonts w:ascii="FangSong" w:hAnsi="FangSong" w:eastAsia="FangSong" w:cs="FangSong"/>
          <w:sz w:val="31"/>
          <w:szCs w:val="31"/>
          <w:spacing w:val="10"/>
        </w:rPr>
        <w:t>近平新时代中国特色社会主义思想为指导，深入贯彻党</w:t>
      </w:r>
    </w:p>
    <w:p>
      <w:pPr>
        <w:ind w:right="99" w:firstLine="47"/>
        <w:spacing w:before="196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的</w:t>
      </w:r>
      <w:r>
        <w:rPr>
          <w:rFonts w:ascii="FangSong" w:hAnsi="FangSong" w:eastAsia="FangSong" w:cs="FangSong"/>
          <w:sz w:val="31"/>
          <w:szCs w:val="31"/>
          <w:spacing w:val="11"/>
        </w:rPr>
        <w:t>二十大精神，全面落实习近平总书记关于职业教育工作重要指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示</w:t>
      </w:r>
      <w:r>
        <w:rPr>
          <w:rFonts w:ascii="FangSong" w:hAnsi="FangSong" w:eastAsia="FangSong" w:cs="FangSong"/>
          <w:sz w:val="31"/>
          <w:szCs w:val="31"/>
          <w:spacing w:val="18"/>
        </w:rPr>
        <w:t>批</w:t>
      </w:r>
      <w:r>
        <w:rPr>
          <w:rFonts w:ascii="FangSong" w:hAnsi="FangSong" w:eastAsia="FangSong" w:cs="FangSong"/>
          <w:sz w:val="31"/>
          <w:szCs w:val="31"/>
          <w:spacing w:val="12"/>
        </w:rPr>
        <w:t>示精神，按照全国、全省职业教育大会部署，落实《河南省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职</w:t>
      </w:r>
      <w:r>
        <w:rPr>
          <w:rFonts w:ascii="FangSong" w:hAnsi="FangSong" w:eastAsia="FangSong" w:cs="FangSong"/>
          <w:sz w:val="31"/>
          <w:szCs w:val="31"/>
          <w:spacing w:val="19"/>
        </w:rPr>
        <w:t>业</w:t>
      </w:r>
      <w:r>
        <w:rPr>
          <w:rFonts w:ascii="FangSong" w:hAnsi="FangSong" w:eastAsia="FangSong" w:cs="FangSong"/>
          <w:sz w:val="31"/>
          <w:szCs w:val="31"/>
          <w:spacing w:val="12"/>
        </w:rPr>
        <w:t>院校结构与产业结构匹配调整优化方案》和《关于深化河南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省现代职业教育专业结构调整优化的实施意见》相关要求，锚</w:t>
      </w:r>
      <w:r>
        <w:rPr>
          <w:rFonts w:ascii="FangSong" w:hAnsi="FangSong" w:eastAsia="FangSong" w:cs="FangSong"/>
          <w:sz w:val="31"/>
          <w:szCs w:val="31"/>
          <w:spacing w:val="8"/>
        </w:rPr>
        <w:t>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“两个确保”、聚焦“十大战略”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以我省经济转型发展、产业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结构调整和创新驱动发展对技术技能人才的需求为导向，充分</w:t>
      </w:r>
      <w:r>
        <w:rPr>
          <w:rFonts w:ascii="FangSong" w:hAnsi="FangSong" w:eastAsia="FangSong" w:cs="FangSong"/>
          <w:sz w:val="31"/>
          <w:szCs w:val="31"/>
          <w:spacing w:val="8"/>
        </w:rPr>
        <w:t>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挥省级职业教育示范性专业点的示范引领带动作用，深化产教</w:t>
      </w:r>
      <w:r>
        <w:rPr>
          <w:rFonts w:ascii="FangSong" w:hAnsi="FangSong" w:eastAsia="FangSong" w:cs="FangSong"/>
          <w:sz w:val="31"/>
          <w:szCs w:val="31"/>
          <w:spacing w:val="8"/>
        </w:rPr>
        <w:t>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合，创新人才培养模式，强化专业建设和课程改革，完善职业</w:t>
      </w:r>
      <w:r>
        <w:rPr>
          <w:rFonts w:ascii="FangSong" w:hAnsi="FangSong" w:eastAsia="FangSong" w:cs="FangSong"/>
          <w:sz w:val="31"/>
          <w:szCs w:val="31"/>
          <w:spacing w:val="8"/>
        </w:rPr>
        <w:t>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育专业动态调整机制，推动专业链、人才链、产业链与创新链</w:t>
      </w:r>
      <w:r>
        <w:rPr>
          <w:rFonts w:ascii="FangSong" w:hAnsi="FangSong" w:eastAsia="FangSong" w:cs="FangSong"/>
          <w:sz w:val="31"/>
          <w:szCs w:val="31"/>
          <w:spacing w:val="8"/>
        </w:rPr>
        <w:t>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频</w:t>
      </w:r>
      <w:r>
        <w:rPr>
          <w:rFonts w:ascii="FangSong" w:hAnsi="FangSong" w:eastAsia="FangSong" w:cs="FangSong"/>
          <w:sz w:val="31"/>
          <w:szCs w:val="31"/>
          <w:spacing w:val="14"/>
        </w:rPr>
        <w:t>共</w:t>
      </w:r>
      <w:r>
        <w:rPr>
          <w:rFonts w:ascii="FangSong" w:hAnsi="FangSong" w:eastAsia="FangSong" w:cs="FangSong"/>
          <w:sz w:val="31"/>
          <w:szCs w:val="31"/>
          <w:spacing w:val="9"/>
        </w:rPr>
        <w:t>振，为现代化河南提供强有力的高素质技术技能人才支撑。</w:t>
      </w:r>
    </w:p>
    <w:p>
      <w:pPr>
        <w:ind w:left="666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二</w:t>
      </w:r>
      <w:r>
        <w:rPr>
          <w:rFonts w:ascii="SimHei" w:hAnsi="SimHei" w:eastAsia="SimHei" w:cs="SimHei"/>
          <w:sz w:val="31"/>
          <w:szCs w:val="31"/>
          <w:spacing w:val="7"/>
        </w:rPr>
        <w:t>、工作目标</w:t>
      </w:r>
    </w:p>
    <w:p>
      <w:pPr>
        <w:ind w:left="34" w:right="99" w:firstLine="668"/>
        <w:spacing w:before="208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围</w:t>
      </w:r>
      <w:r>
        <w:rPr>
          <w:rFonts w:ascii="FangSong" w:hAnsi="FangSong" w:eastAsia="FangSong" w:cs="FangSong"/>
          <w:sz w:val="31"/>
          <w:szCs w:val="31"/>
          <w:spacing w:val="14"/>
        </w:rPr>
        <w:t>绕</w:t>
      </w:r>
      <w:r>
        <w:rPr>
          <w:rFonts w:ascii="FangSong" w:hAnsi="FangSong" w:eastAsia="FangSong" w:cs="FangSong"/>
          <w:sz w:val="31"/>
          <w:szCs w:val="31"/>
          <w:spacing w:val="10"/>
        </w:rPr>
        <w:t>实施传统专业提质、新兴专业扩容、未来专业培育、特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色</w:t>
      </w:r>
      <w:r>
        <w:rPr>
          <w:rFonts w:ascii="FangSong" w:hAnsi="FangSong" w:eastAsia="FangSong" w:cs="FangSong"/>
          <w:sz w:val="31"/>
          <w:szCs w:val="31"/>
          <w:spacing w:val="17"/>
        </w:rPr>
        <w:t>专</w:t>
      </w:r>
      <w:r>
        <w:rPr>
          <w:rFonts w:ascii="FangSong" w:hAnsi="FangSong" w:eastAsia="FangSong" w:cs="FangSong"/>
          <w:sz w:val="31"/>
          <w:szCs w:val="31"/>
          <w:spacing w:val="11"/>
        </w:rPr>
        <w:t>业赋能、骨干专业升级等专业结构优化五大计划，分批分类</w:t>
      </w:r>
    </w:p>
    <w:p>
      <w:pPr>
        <w:ind w:left="2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遴选建设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750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个左右省级职业教</w:t>
      </w:r>
      <w:r>
        <w:rPr>
          <w:rFonts w:ascii="FangSong" w:hAnsi="FangSong" w:eastAsia="FangSong" w:cs="FangSong"/>
          <w:sz w:val="31"/>
          <w:szCs w:val="31"/>
          <w:spacing w:val="1"/>
        </w:rPr>
        <w:t>育示范性专业点。</w:t>
      </w:r>
    </w:p>
    <w:p>
      <w:pPr>
        <w:ind w:left="28" w:firstLine="662"/>
        <w:spacing w:before="166" w:line="347" w:lineRule="auto"/>
        <w:tabs>
          <w:tab w:val="left" w:leader="empty" w:pos="845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6"/>
        </w:rPr>
        <w:t>(一</w:t>
      </w:r>
      <w:r>
        <w:rPr>
          <w:rFonts w:ascii="STKaiti" w:hAnsi="STKaiti" w:eastAsia="STKaiti" w:cs="STKaiti"/>
          <w:sz w:val="31"/>
          <w:szCs w:val="31"/>
          <w:spacing w:val="5"/>
        </w:rPr>
        <w:t>)</w:t>
      </w:r>
      <w:r>
        <w:rPr>
          <w:rFonts w:ascii="STKaiti" w:hAnsi="STKaiti" w:eastAsia="STKaiti" w:cs="STKaiti"/>
          <w:sz w:val="31"/>
          <w:szCs w:val="31"/>
          <w:spacing w:val="3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3"/>
        </w:rPr>
        <w:t>示范性传统优势专业点。</w:t>
      </w:r>
      <w:r>
        <w:rPr>
          <w:rFonts w:ascii="STKaiti" w:hAnsi="STKaiti" w:eastAsia="STKaiti" w:cs="STKaiti"/>
          <w:sz w:val="31"/>
          <w:szCs w:val="31"/>
          <w:spacing w:val="3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3"/>
        </w:rPr>
        <w:t>以传统优势产业改造升级为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基</w:t>
      </w:r>
      <w:r>
        <w:rPr>
          <w:rFonts w:ascii="FangSong" w:hAnsi="FangSong" w:eastAsia="FangSong" w:cs="FangSong"/>
          <w:sz w:val="31"/>
          <w:szCs w:val="31"/>
          <w:spacing w:val="4"/>
        </w:rPr>
        <w:t>础，服务优势再造战略，围绕装备制造、绿色食品、电子制造、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先</w:t>
      </w:r>
      <w:r>
        <w:rPr>
          <w:rFonts w:ascii="FangSong" w:hAnsi="FangSong" w:eastAsia="FangSong" w:cs="FangSong"/>
          <w:sz w:val="31"/>
          <w:szCs w:val="31"/>
          <w:spacing w:val="11"/>
        </w:rPr>
        <w:t>进金属材料、新型建材、现代轻纺等传统优势产业发展需求，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建设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200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个左右省级示范性传统优势专</w:t>
      </w:r>
      <w:r>
        <w:rPr>
          <w:rFonts w:ascii="FangSong" w:hAnsi="FangSong" w:eastAsia="FangSong" w:cs="FangSong"/>
          <w:sz w:val="31"/>
          <w:szCs w:val="31"/>
        </w:rPr>
        <w:t>业点。</w:t>
      </w:r>
    </w:p>
    <w:p>
      <w:pPr>
        <w:sectPr>
          <w:footerReference w:type="default" r:id="rId3"/>
          <w:pgSz w:w="11906" w:h="16838"/>
          <w:pgMar w:top="1431" w:right="1243" w:bottom="1925" w:left="1523" w:header="0" w:footer="1638" w:gutter="0"/>
        </w:sectPr>
        <w:rPr/>
      </w:pPr>
    </w:p>
    <w:p>
      <w:pPr>
        <w:ind w:firstLine="662"/>
        <w:spacing w:before="307" w:line="345" w:lineRule="auto"/>
        <w:tabs>
          <w:tab w:val="left" w:leader="empty" w:pos="81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6"/>
        </w:rPr>
        <w:t>(二</w:t>
      </w:r>
      <w:r>
        <w:rPr>
          <w:rFonts w:ascii="STKaiti" w:hAnsi="STKaiti" w:eastAsia="STKaiti" w:cs="STKaiti"/>
          <w:sz w:val="31"/>
          <w:szCs w:val="31"/>
          <w:spacing w:val="3"/>
        </w:rPr>
        <w:t>)</w:t>
      </w:r>
      <w:r>
        <w:rPr>
          <w:rFonts w:ascii="STKaiti" w:hAnsi="STKaiti" w:eastAsia="STKaiti" w:cs="STKaiti"/>
          <w:sz w:val="31"/>
          <w:szCs w:val="31"/>
          <w:spacing w:val="3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3"/>
        </w:rPr>
        <w:t>示范性新兴专业点。</w:t>
      </w:r>
      <w:r>
        <w:rPr>
          <w:rFonts w:ascii="STKaiti" w:hAnsi="STKaiti" w:eastAsia="STKaiti" w:cs="STKaiti"/>
          <w:sz w:val="31"/>
          <w:szCs w:val="31"/>
          <w:spacing w:val="3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3"/>
        </w:rPr>
        <w:t>以新兴产业培育壮大为支柱，服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务</w:t>
      </w:r>
      <w:r>
        <w:rPr>
          <w:rFonts w:ascii="FangSong" w:hAnsi="FangSong" w:eastAsia="FangSong" w:cs="FangSong"/>
          <w:sz w:val="31"/>
          <w:szCs w:val="31"/>
          <w:spacing w:val="6"/>
        </w:rPr>
        <w:t>数字化转型战略，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围绕新型显示和智能终端、生物医药、绿色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环</w:t>
      </w:r>
      <w:r>
        <w:rPr>
          <w:rFonts w:ascii="FangSong" w:hAnsi="FangSong" w:eastAsia="FangSong" w:cs="FangSong"/>
          <w:sz w:val="31"/>
          <w:szCs w:val="31"/>
          <w:spacing w:val="4"/>
        </w:rPr>
        <w:t>保、新能源及网联汽车、新一代人工智能、大数据、虚拟现实、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物联网、云计算、网络安全、新材料、智能传感器、移动通信</w:t>
      </w:r>
      <w:r>
        <w:rPr>
          <w:rFonts w:ascii="FangSong" w:hAnsi="FangSong" w:eastAsia="FangSong" w:cs="FangSong"/>
          <w:sz w:val="31"/>
          <w:szCs w:val="31"/>
          <w:spacing w:val="6"/>
        </w:rPr>
        <w:t>等</w:t>
      </w:r>
    </w:p>
    <w:p>
      <w:pPr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新</w:t>
      </w:r>
      <w:r>
        <w:rPr>
          <w:rFonts w:ascii="FangSong" w:hAnsi="FangSong" w:eastAsia="FangSong" w:cs="FangSong"/>
          <w:sz w:val="31"/>
          <w:szCs w:val="31"/>
          <w:spacing w:val="-2"/>
        </w:rPr>
        <w:t>兴产业发展需求，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建设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个左右省级示范性新兴专业点。</w:t>
      </w:r>
    </w:p>
    <w:p>
      <w:pPr>
        <w:ind w:left="3" w:right="14" w:firstLine="659"/>
        <w:spacing w:before="168" w:line="344" w:lineRule="auto"/>
        <w:tabs>
          <w:tab w:val="left" w:leader="empty" w:pos="81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6"/>
        </w:rPr>
        <w:t>(三</w:t>
      </w:r>
      <w:r>
        <w:rPr>
          <w:rFonts w:ascii="STKaiti" w:hAnsi="STKaiti" w:eastAsia="STKaiti" w:cs="STKaiti"/>
          <w:sz w:val="31"/>
          <w:szCs w:val="31"/>
          <w:spacing w:val="3"/>
        </w:rPr>
        <w:t>)</w:t>
      </w:r>
      <w:r>
        <w:rPr>
          <w:rFonts w:ascii="STKaiti" w:hAnsi="STKaiti" w:eastAsia="STKaiti" w:cs="STKaiti"/>
          <w:sz w:val="31"/>
          <w:szCs w:val="31"/>
          <w:spacing w:val="3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3"/>
        </w:rPr>
        <w:t>示范性未来专业点。</w:t>
      </w:r>
      <w:r>
        <w:rPr>
          <w:rFonts w:ascii="STKaiti" w:hAnsi="STKaiti" w:eastAsia="STKaiti" w:cs="STKaiti"/>
          <w:sz w:val="31"/>
          <w:szCs w:val="31"/>
          <w:spacing w:val="3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3"/>
        </w:rPr>
        <w:t>以未来产业前瞻布局为先导，服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务</w:t>
      </w:r>
      <w:r>
        <w:rPr>
          <w:rFonts w:ascii="FangSong" w:hAnsi="FangSong" w:eastAsia="FangSong" w:cs="FangSong"/>
          <w:sz w:val="31"/>
          <w:szCs w:val="31"/>
          <w:spacing w:val="20"/>
        </w:rPr>
        <w:t>换</w:t>
      </w:r>
      <w:r>
        <w:rPr>
          <w:rFonts w:ascii="FangSong" w:hAnsi="FangSong" w:eastAsia="FangSong" w:cs="FangSong"/>
          <w:sz w:val="31"/>
          <w:szCs w:val="31"/>
          <w:spacing w:val="11"/>
        </w:rPr>
        <w:t>道领跑战略，追踪北斗应用、氢能与储能、量子信息、区块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链、类脑智</w:t>
      </w:r>
      <w:r>
        <w:rPr>
          <w:rFonts w:ascii="FangSong" w:hAnsi="FangSong" w:eastAsia="FangSong" w:cs="FangSong"/>
          <w:sz w:val="31"/>
          <w:szCs w:val="31"/>
          <w:spacing w:val="3"/>
        </w:rPr>
        <w:t>能、元宇宙、生命健康、前沿新材料等未来产业需求，</w:t>
      </w:r>
    </w:p>
    <w:p>
      <w:pPr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建设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50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</w:t>
      </w:r>
      <w:r>
        <w:rPr>
          <w:rFonts w:ascii="FangSong" w:hAnsi="FangSong" w:eastAsia="FangSong" w:cs="FangSong"/>
          <w:sz w:val="31"/>
          <w:szCs w:val="31"/>
        </w:rPr>
        <w:t>左右省级示范性未来专业点。</w:t>
      </w:r>
    </w:p>
    <w:p>
      <w:pPr>
        <w:ind w:right="99" w:firstLine="663"/>
        <w:spacing w:before="169" w:line="345" w:lineRule="auto"/>
        <w:tabs>
          <w:tab w:val="left" w:leader="empty" w:pos="81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3"/>
        </w:rPr>
        <w:t>(四)</w:t>
      </w:r>
      <w:r>
        <w:rPr>
          <w:rFonts w:ascii="STKaiti" w:hAnsi="STKaiti" w:eastAsia="STKaiti" w:cs="STKaiti"/>
          <w:sz w:val="31"/>
          <w:szCs w:val="31"/>
          <w:spacing w:val="3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3"/>
        </w:rPr>
        <w:t>示范性特色专业点。</w:t>
      </w:r>
      <w:r>
        <w:rPr>
          <w:rFonts w:ascii="STKaiti" w:hAnsi="STKaiti" w:eastAsia="STKaiti" w:cs="STKaiti"/>
          <w:sz w:val="31"/>
          <w:szCs w:val="31"/>
          <w:spacing w:val="3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3"/>
        </w:rPr>
        <w:t>以现代服务业优化提升为依</w:t>
      </w:r>
      <w:r>
        <w:rPr>
          <w:rFonts w:ascii="FangSong" w:hAnsi="FangSong" w:eastAsia="FangSong" w:cs="FangSong"/>
          <w:sz w:val="31"/>
          <w:szCs w:val="31"/>
        </w:rPr>
        <w:t>托，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服务现代金融、中介服务、服务贸易、新型城镇化、乡村振兴</w:t>
      </w:r>
      <w:r>
        <w:rPr>
          <w:rFonts w:ascii="FangSong" w:hAnsi="FangSong" w:eastAsia="FangSong" w:cs="FangSong"/>
          <w:sz w:val="31"/>
          <w:szCs w:val="31"/>
          <w:spacing w:val="7"/>
        </w:rPr>
        <w:t>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略，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围</w:t>
      </w:r>
      <w:r>
        <w:rPr>
          <w:rFonts w:ascii="FangSong" w:hAnsi="FangSong" w:eastAsia="FangSong" w:cs="FangSong"/>
          <w:sz w:val="31"/>
          <w:szCs w:val="31"/>
          <w:spacing w:val="-4"/>
        </w:rPr>
        <w:t>绕智慧出行、交通运输、文旅文创、技艺传承、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“一老一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小</w:t>
      </w:r>
      <w:r>
        <w:rPr>
          <w:rFonts w:ascii="FangSong" w:hAnsi="FangSong" w:eastAsia="FangSong" w:cs="FangSong"/>
          <w:sz w:val="31"/>
          <w:szCs w:val="31"/>
          <w:spacing w:val="11"/>
        </w:rPr>
        <w:t>一青壮”“通道+枢纽+网络”物流运行体系建设等现代服务业</w:t>
      </w:r>
    </w:p>
    <w:p>
      <w:pPr>
        <w:ind w:left="9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发</w:t>
      </w:r>
      <w:r>
        <w:rPr>
          <w:rFonts w:ascii="FangSong" w:hAnsi="FangSong" w:eastAsia="FangSong" w:cs="FangSong"/>
          <w:sz w:val="31"/>
          <w:szCs w:val="31"/>
          <w:spacing w:val="-4"/>
        </w:rPr>
        <w:t>展要求，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建设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100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个左右省级示范性特色专业点。</w:t>
      </w:r>
    </w:p>
    <w:p>
      <w:pPr>
        <w:ind w:firstLine="663"/>
        <w:spacing w:before="167" w:line="345" w:lineRule="auto"/>
        <w:tabs>
          <w:tab w:val="left" w:leader="empty" w:pos="81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10"/>
        </w:rPr>
        <w:t>(五)</w:t>
      </w:r>
      <w:r>
        <w:rPr>
          <w:rFonts w:ascii="STKaiti" w:hAnsi="STKaiti" w:eastAsia="STKaiti" w:cs="STKaiti"/>
          <w:sz w:val="31"/>
          <w:szCs w:val="31"/>
          <w:spacing w:val="10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9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5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5"/>
        </w:rPr>
        <w:t>示范性骨干专业点。</w:t>
      </w:r>
      <w:r>
        <w:rPr>
          <w:rFonts w:ascii="STKaiti" w:hAnsi="STKaiti" w:eastAsia="STKaiti" w:cs="STKait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坚持高端化、智能化、绿色化方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向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  <w:r>
        <w:rPr>
          <w:rFonts w:ascii="FangSong" w:hAnsi="FangSong" w:eastAsia="FangSong" w:cs="FangSong"/>
          <w:sz w:val="31"/>
          <w:szCs w:val="31"/>
          <w:spacing w:val="4"/>
        </w:rPr>
        <w:t>优化专业培养目标、课程体系、培养方案，深化教师、教材、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教法</w:t>
      </w:r>
      <w:r>
        <w:rPr>
          <w:rFonts w:ascii="FangSong" w:hAnsi="FangSong" w:eastAsia="FangSong" w:cs="FangSong"/>
          <w:sz w:val="31"/>
          <w:szCs w:val="31"/>
          <w:spacing w:val="8"/>
        </w:rPr>
        <w:t>改</w:t>
      </w:r>
      <w:r>
        <w:rPr>
          <w:rFonts w:ascii="FangSong" w:hAnsi="FangSong" w:eastAsia="FangSong" w:cs="FangSong"/>
          <w:sz w:val="31"/>
          <w:szCs w:val="31"/>
          <w:spacing w:val="5"/>
        </w:rPr>
        <w:t>革，推进职业教育专业升级与数字化改造，建设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200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右</w:t>
      </w:r>
      <w:r>
        <w:rPr>
          <w:rFonts w:ascii="FangSong" w:hAnsi="FangSong" w:eastAsia="FangSong" w:cs="FangSong"/>
          <w:sz w:val="31"/>
          <w:szCs w:val="31"/>
          <w:spacing w:val="8"/>
        </w:rPr>
        <w:t>省级升级改造示范性骨干专业点。</w:t>
      </w:r>
    </w:p>
    <w:p>
      <w:pPr>
        <w:ind w:left="639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</w:t>
      </w:r>
      <w:r>
        <w:rPr>
          <w:rFonts w:ascii="SimHei" w:hAnsi="SimHei" w:eastAsia="SimHei" w:cs="SimHei"/>
          <w:sz w:val="31"/>
          <w:szCs w:val="31"/>
          <w:spacing w:val="7"/>
        </w:rPr>
        <w:t>、基础条件</w:t>
      </w:r>
    </w:p>
    <w:p>
      <w:pPr>
        <w:ind w:left="644"/>
        <w:spacing w:before="208" w:line="58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  <w:position w:val="20"/>
        </w:rPr>
        <w:t>省</w:t>
      </w:r>
      <w:r>
        <w:rPr>
          <w:rFonts w:ascii="FangSong" w:hAnsi="FangSong" w:eastAsia="FangSong" w:cs="FangSong"/>
          <w:sz w:val="31"/>
          <w:szCs w:val="31"/>
          <w:spacing w:val="18"/>
          <w:position w:val="20"/>
        </w:rPr>
        <w:t>级</w:t>
      </w:r>
      <w:r>
        <w:rPr>
          <w:rFonts w:ascii="FangSong" w:hAnsi="FangSong" w:eastAsia="FangSong" w:cs="FangSong"/>
          <w:sz w:val="31"/>
          <w:szCs w:val="31"/>
          <w:spacing w:val="11"/>
          <w:position w:val="20"/>
        </w:rPr>
        <w:t>职业教育示范性专业点应满足如下基础条件，各年度遴</w:t>
      </w:r>
    </w:p>
    <w:p>
      <w:pPr>
        <w:ind w:left="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选</w:t>
      </w:r>
      <w:r>
        <w:rPr>
          <w:rFonts w:ascii="FangSong" w:hAnsi="FangSong" w:eastAsia="FangSong" w:cs="FangSong"/>
          <w:sz w:val="31"/>
          <w:szCs w:val="31"/>
          <w:spacing w:val="11"/>
        </w:rPr>
        <w:t>数</w:t>
      </w:r>
      <w:r>
        <w:rPr>
          <w:rFonts w:ascii="FangSong" w:hAnsi="FangSong" w:eastAsia="FangSong" w:cs="FangSong"/>
          <w:sz w:val="31"/>
          <w:szCs w:val="31"/>
          <w:spacing w:val="8"/>
        </w:rPr>
        <w:t>量和具体条件以当年遴选工作通知为准。</w:t>
      </w:r>
    </w:p>
    <w:p>
      <w:pPr>
        <w:ind w:left="663"/>
        <w:spacing w:before="166" w:line="477" w:lineRule="exact"/>
        <w:tabs>
          <w:tab w:val="left" w:leader="empty" w:pos="81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  <w:position w:val="5"/>
        </w:rPr>
        <w:tab/>
      </w:r>
      <w:r>
        <w:rPr>
          <w:rFonts w:ascii="STKaiti" w:hAnsi="STKaiti" w:eastAsia="STKaiti" w:cs="STKaiti"/>
          <w:sz w:val="31"/>
          <w:szCs w:val="31"/>
          <w:spacing w:val="6"/>
          <w:position w:val="5"/>
        </w:rPr>
        <w:t>(一)</w:t>
      </w:r>
      <w:r>
        <w:rPr>
          <w:rFonts w:ascii="STKaiti" w:hAnsi="STKaiti" w:eastAsia="STKaiti" w:cs="STKaiti"/>
          <w:sz w:val="31"/>
          <w:szCs w:val="31"/>
          <w:spacing w:val="6"/>
          <w:position w:val="5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6"/>
          <w:position w:val="5"/>
        </w:rPr>
        <w:t>发展环境良好。</w:t>
      </w:r>
      <w:r>
        <w:rPr>
          <w:rFonts w:ascii="STKaiti" w:hAnsi="STKaiti" w:eastAsia="STKaiti" w:cs="STKaiti"/>
          <w:sz w:val="31"/>
          <w:szCs w:val="31"/>
          <w:spacing w:val="6"/>
          <w:position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  <w:position w:val="5"/>
        </w:rPr>
        <w:t>省级职业教育示范性专业点所在学</w:t>
      </w:r>
      <w:r>
        <w:rPr>
          <w:rFonts w:ascii="FangSong" w:hAnsi="FangSong" w:eastAsia="FangSong" w:cs="FangSong"/>
          <w:sz w:val="31"/>
          <w:szCs w:val="31"/>
          <w:position w:val="5"/>
        </w:rPr>
        <w:t>校</w:t>
      </w:r>
    </w:p>
    <w:p>
      <w:pPr>
        <w:sectPr>
          <w:footerReference w:type="default" r:id="rId4"/>
          <w:pgSz w:w="11906" w:h="16838"/>
          <w:pgMar w:top="1431" w:right="1243" w:bottom="1925" w:left="1551" w:header="0" w:footer="1638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ind w:left="36" w:right="97" w:hanging="8"/>
        <w:spacing w:before="100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应全面贯彻党的教育方针，落实立德树人根本任务，发展思路</w:t>
      </w:r>
      <w:r>
        <w:rPr>
          <w:rFonts w:ascii="FangSong" w:hAnsi="FangSong" w:eastAsia="FangSong" w:cs="FangSong"/>
          <w:sz w:val="31"/>
          <w:szCs w:val="31"/>
          <w:spacing w:val="6"/>
        </w:rPr>
        <w:t>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晰</w:t>
      </w:r>
      <w:r>
        <w:rPr>
          <w:rFonts w:ascii="FangSong" w:hAnsi="FangSong" w:eastAsia="FangSong" w:cs="FangSong"/>
          <w:sz w:val="31"/>
          <w:szCs w:val="31"/>
          <w:spacing w:val="13"/>
        </w:rPr>
        <w:t>，</w:t>
      </w:r>
      <w:r>
        <w:rPr>
          <w:rFonts w:ascii="FangSong" w:hAnsi="FangSong" w:eastAsia="FangSong" w:cs="FangSong"/>
          <w:sz w:val="31"/>
          <w:szCs w:val="31"/>
          <w:spacing w:val="11"/>
        </w:rPr>
        <w:t>办学定位准确，能够紧紧围绕服务国家战略和区域经济社会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发</w:t>
      </w:r>
      <w:r>
        <w:rPr>
          <w:rFonts w:ascii="FangSong" w:hAnsi="FangSong" w:eastAsia="FangSong" w:cs="FangSong"/>
          <w:sz w:val="31"/>
          <w:szCs w:val="31"/>
          <w:spacing w:val="13"/>
        </w:rPr>
        <w:t>展</w:t>
      </w:r>
      <w:r>
        <w:rPr>
          <w:rFonts w:ascii="FangSong" w:hAnsi="FangSong" w:eastAsia="FangSong" w:cs="FangSong"/>
          <w:sz w:val="31"/>
          <w:szCs w:val="31"/>
          <w:spacing w:val="11"/>
        </w:rPr>
        <w:t>需求，科学规划设置专业，与行业企业合作深入，人才培养</w:t>
      </w:r>
    </w:p>
    <w:p>
      <w:pPr>
        <w:ind w:left="28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和学校</w:t>
      </w:r>
      <w:r>
        <w:rPr>
          <w:rFonts w:ascii="FangSong" w:hAnsi="FangSong" w:eastAsia="FangSong" w:cs="FangSong"/>
          <w:sz w:val="31"/>
          <w:szCs w:val="31"/>
          <w:spacing w:val="3"/>
        </w:rPr>
        <w:t>治</w:t>
      </w:r>
      <w:r>
        <w:rPr>
          <w:rFonts w:ascii="FangSong" w:hAnsi="FangSong" w:eastAsia="FangSong" w:cs="FangSong"/>
          <w:sz w:val="31"/>
          <w:szCs w:val="31"/>
          <w:spacing w:val="2"/>
        </w:rPr>
        <w:t>理水平高，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对区域行业产业发展影响强、贡献大。</w:t>
      </w:r>
    </w:p>
    <w:p>
      <w:pPr>
        <w:ind w:firstLine="691"/>
        <w:spacing w:before="162" w:line="347" w:lineRule="auto"/>
        <w:tabs>
          <w:tab w:val="left" w:leader="empty" w:pos="845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8"/>
        </w:rPr>
        <w:t>(</w:t>
      </w:r>
      <w:r>
        <w:rPr>
          <w:rFonts w:ascii="STKaiti" w:hAnsi="STKaiti" w:eastAsia="STKaiti" w:cs="STKaiti"/>
          <w:sz w:val="31"/>
          <w:szCs w:val="31"/>
          <w:spacing w:val="7"/>
        </w:rPr>
        <w:t>二)</w:t>
      </w:r>
      <w:r>
        <w:rPr>
          <w:rFonts w:ascii="STKaiti" w:hAnsi="STKaiti" w:eastAsia="STKaiti" w:cs="STKaiti"/>
          <w:sz w:val="31"/>
          <w:szCs w:val="31"/>
          <w:spacing w:val="7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7"/>
        </w:rPr>
        <w:t>教学条件达标。</w:t>
      </w:r>
      <w:r>
        <w:rPr>
          <w:rFonts w:ascii="FangSong" w:hAnsi="FangSong" w:eastAsia="FangSong" w:cs="FangSong"/>
          <w:sz w:val="31"/>
          <w:szCs w:val="31"/>
          <w:spacing w:val="7"/>
        </w:rPr>
        <w:t>省级职业教育示范性专业点的生师比、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“双师型”教师比例、仪器设备值、图书藏量、教学实训场所</w:t>
      </w:r>
      <w:r>
        <w:rPr>
          <w:rFonts w:ascii="FangSong" w:hAnsi="FangSong" w:eastAsia="FangSong" w:cs="FangSong"/>
          <w:sz w:val="31"/>
          <w:szCs w:val="31"/>
          <w:spacing w:val="7"/>
        </w:rPr>
        <w:t>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基础</w:t>
      </w:r>
      <w:r>
        <w:rPr>
          <w:rFonts w:ascii="FangSong" w:hAnsi="FangSong" w:eastAsia="FangSong" w:cs="FangSong"/>
          <w:sz w:val="31"/>
          <w:szCs w:val="31"/>
          <w:spacing w:val="7"/>
        </w:rPr>
        <w:t>教</w:t>
      </w:r>
      <w:r>
        <w:rPr>
          <w:rFonts w:ascii="FangSong" w:hAnsi="FangSong" w:eastAsia="FangSong" w:cs="FangSong"/>
          <w:sz w:val="31"/>
          <w:szCs w:val="31"/>
          <w:spacing w:val="6"/>
        </w:rPr>
        <w:t>学条件中，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中职专业点不低于《中等职业学校设置标准》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中规定的标准，高职专业点不低于《普通高等学校基本办学条</w:t>
      </w:r>
      <w:r>
        <w:rPr>
          <w:rFonts w:ascii="FangSong" w:hAnsi="FangSong" w:eastAsia="FangSong" w:cs="FangSong"/>
          <w:sz w:val="31"/>
          <w:szCs w:val="31"/>
          <w:spacing w:val="8"/>
        </w:rPr>
        <w:t>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1"/>
        </w:rPr>
        <w:t>指</w:t>
      </w:r>
      <w:r>
        <w:rPr>
          <w:rFonts w:ascii="FangSong" w:hAnsi="FangSong" w:eastAsia="FangSong" w:cs="FangSong"/>
          <w:sz w:val="31"/>
          <w:szCs w:val="31"/>
          <w:spacing w:val="22"/>
        </w:rPr>
        <w:t>标(试行)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》中高职(专科)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学校设置标准，职业本科专业点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4"/>
        </w:rPr>
        <w:t>不</w:t>
      </w:r>
      <w:r>
        <w:rPr>
          <w:rFonts w:ascii="FangSong" w:hAnsi="FangSong" w:eastAsia="FangSong" w:cs="FangSong"/>
          <w:sz w:val="31"/>
          <w:szCs w:val="31"/>
          <w:spacing w:val="21"/>
        </w:rPr>
        <w:t>低</w:t>
      </w:r>
      <w:r>
        <w:rPr>
          <w:rFonts w:ascii="FangSong" w:hAnsi="FangSong" w:eastAsia="FangSong" w:cs="FangSong"/>
          <w:sz w:val="31"/>
          <w:szCs w:val="31"/>
          <w:spacing w:val="17"/>
        </w:rPr>
        <w:t>于《本科层次职业教育专业设置管理办法(试行)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》中职业</w:t>
      </w:r>
    </w:p>
    <w:p>
      <w:pPr>
        <w:ind w:left="3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本科专业设置标准。</w:t>
      </w:r>
    </w:p>
    <w:p>
      <w:pPr>
        <w:ind w:left="28" w:right="97" w:firstLine="663"/>
        <w:spacing w:before="160" w:line="347" w:lineRule="auto"/>
        <w:tabs>
          <w:tab w:val="left" w:leader="empty" w:pos="845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6"/>
        </w:rPr>
        <w:t>(三)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6"/>
        </w:rPr>
        <w:t>专业建设规范。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省级职业教育示范性专业点的专业</w:t>
      </w:r>
      <w:r>
        <w:rPr>
          <w:rFonts w:ascii="FangSong" w:hAnsi="FangSong" w:eastAsia="FangSong" w:cs="FangSong"/>
          <w:sz w:val="31"/>
          <w:szCs w:val="31"/>
        </w:rPr>
        <w:t>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称</w:t>
      </w:r>
      <w:r>
        <w:rPr>
          <w:rFonts w:ascii="FangSong" w:hAnsi="FangSong" w:eastAsia="FangSong" w:cs="FangSong"/>
          <w:sz w:val="31"/>
          <w:szCs w:val="31"/>
          <w:spacing w:val="8"/>
        </w:rPr>
        <w:t>、</w:t>
      </w:r>
      <w:r>
        <w:rPr>
          <w:rFonts w:ascii="FangSong" w:hAnsi="FangSong" w:eastAsia="FangSong" w:cs="FangSong"/>
          <w:sz w:val="31"/>
          <w:szCs w:val="31"/>
          <w:spacing w:val="5"/>
        </w:rPr>
        <w:t>专业代码等须符合《职业教育专业目录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(2021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》相关要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求；专业内涵、培养目标、课程安排、实习实训等须符合《职</w:t>
      </w:r>
      <w:r>
        <w:rPr>
          <w:rFonts w:ascii="FangSong" w:hAnsi="FangSong" w:eastAsia="FangSong" w:cs="FangSong"/>
          <w:sz w:val="31"/>
          <w:szCs w:val="31"/>
          <w:spacing w:val="7"/>
        </w:rPr>
        <w:t>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教</w:t>
      </w:r>
      <w:r>
        <w:rPr>
          <w:rFonts w:ascii="FangSong" w:hAnsi="FangSong" w:eastAsia="FangSong" w:cs="FangSong"/>
          <w:sz w:val="31"/>
          <w:szCs w:val="31"/>
          <w:spacing w:val="9"/>
        </w:rPr>
        <w:t>育</w:t>
      </w:r>
      <w:r>
        <w:rPr>
          <w:rFonts w:ascii="FangSong" w:hAnsi="FangSong" w:eastAsia="FangSong" w:cs="FangSong"/>
          <w:sz w:val="31"/>
          <w:szCs w:val="31"/>
          <w:spacing w:val="5"/>
        </w:rPr>
        <w:t>专业简介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(2022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年修订)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》相关要求；能够依据专业教学标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准科学制定专业人才培养方案，行业、企业参与办学程度高，</w:t>
      </w:r>
      <w:r>
        <w:rPr>
          <w:rFonts w:ascii="FangSong" w:hAnsi="FangSong" w:eastAsia="FangSong" w:cs="FangSong"/>
          <w:sz w:val="31"/>
          <w:szCs w:val="31"/>
          <w:spacing w:val="7"/>
        </w:rPr>
        <w:t>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企</w:t>
      </w:r>
      <w:r>
        <w:rPr>
          <w:rFonts w:ascii="FangSong" w:hAnsi="FangSong" w:eastAsia="FangSong" w:cs="FangSong"/>
          <w:sz w:val="31"/>
          <w:szCs w:val="31"/>
          <w:spacing w:val="11"/>
        </w:rPr>
        <w:t>合作机制完善、行业优势明显；专业点近三年在招生、财务、</w:t>
      </w:r>
    </w:p>
    <w:p>
      <w:pPr>
        <w:ind w:left="35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实习</w:t>
      </w:r>
      <w:r>
        <w:rPr>
          <w:rFonts w:ascii="FangSong" w:hAnsi="FangSong" w:eastAsia="FangSong" w:cs="FangSong"/>
          <w:sz w:val="31"/>
          <w:szCs w:val="31"/>
          <w:spacing w:val="10"/>
        </w:rPr>
        <w:t>等</w:t>
      </w:r>
      <w:r>
        <w:rPr>
          <w:rFonts w:ascii="FangSong" w:hAnsi="FangSong" w:eastAsia="FangSong" w:cs="FangSong"/>
          <w:sz w:val="31"/>
          <w:szCs w:val="31"/>
          <w:spacing w:val="8"/>
        </w:rPr>
        <w:t>方面未出现过重大违纪违规行为及安全事故。</w:t>
      </w:r>
    </w:p>
    <w:p>
      <w:pPr>
        <w:ind w:left="28" w:right="97" w:firstLine="662"/>
        <w:spacing w:before="164" w:line="347" w:lineRule="auto"/>
        <w:tabs>
          <w:tab w:val="left" w:leader="empty" w:pos="845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6"/>
        </w:rPr>
        <w:t>(四)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6"/>
        </w:rPr>
        <w:t>发展优势明显。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省级职业教育示范性专业点应为所</w:t>
      </w:r>
      <w:r>
        <w:rPr>
          <w:rFonts w:ascii="FangSong" w:hAnsi="FangSong" w:eastAsia="FangSong" w:cs="FangSong"/>
          <w:sz w:val="31"/>
          <w:szCs w:val="31"/>
        </w:rPr>
        <w:t>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学校的重点建设专业或重点规划建</w:t>
      </w:r>
      <w:r>
        <w:rPr>
          <w:rFonts w:ascii="FangSong" w:hAnsi="FangSong" w:eastAsia="FangSong" w:cs="FangSong"/>
          <w:sz w:val="31"/>
          <w:szCs w:val="31"/>
        </w:rPr>
        <w:t>设专业，专业点负责人应为“双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师</w:t>
      </w:r>
      <w:r>
        <w:rPr>
          <w:rFonts w:ascii="FangSong" w:hAnsi="FangSong" w:eastAsia="FangSong" w:cs="FangSong"/>
          <w:sz w:val="31"/>
          <w:szCs w:val="31"/>
          <w:spacing w:val="21"/>
        </w:rPr>
        <w:t>型</w:t>
      </w:r>
      <w:r>
        <w:rPr>
          <w:rFonts w:ascii="FangSong" w:hAnsi="FangSong" w:eastAsia="FangSong" w:cs="FangSong"/>
          <w:sz w:val="31"/>
          <w:szCs w:val="31"/>
          <w:spacing w:val="11"/>
        </w:rPr>
        <w:t>”教师具有高级职称。近三年，省级职业教育示范性专业点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应在教师队伍、教材建设、课程建设、技术研发、实习实训、</w:t>
      </w:r>
      <w:r>
        <w:rPr>
          <w:rFonts w:ascii="FangSong" w:hAnsi="FangSong" w:eastAsia="FangSong" w:cs="FangSong"/>
          <w:sz w:val="31"/>
          <w:szCs w:val="31"/>
          <w:spacing w:val="6"/>
        </w:rPr>
        <w:t>技</w:t>
      </w:r>
    </w:p>
    <w:p>
      <w:pPr>
        <w:sectPr>
          <w:footerReference w:type="default" r:id="rId5"/>
          <w:pgSz w:w="11906" w:h="16838"/>
          <w:pgMar w:top="1431" w:right="1245" w:bottom="1925" w:left="1523" w:header="0" w:footer="1638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ind w:left="2" w:right="307" w:firstLine="17"/>
        <w:spacing w:before="101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能</w:t>
      </w:r>
      <w:r>
        <w:rPr>
          <w:rFonts w:ascii="FangSong" w:hAnsi="FangSong" w:eastAsia="FangSong" w:cs="FangSong"/>
          <w:sz w:val="31"/>
          <w:szCs w:val="31"/>
          <w:spacing w:val="11"/>
        </w:rPr>
        <w:t>大赛、教学成果、教学改革、就业创业、信息化建设等方面取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得</w:t>
      </w:r>
      <w:r>
        <w:rPr>
          <w:rFonts w:ascii="FangSong" w:hAnsi="FangSong" w:eastAsia="FangSong" w:cs="FangSong"/>
          <w:sz w:val="31"/>
          <w:szCs w:val="31"/>
          <w:spacing w:val="21"/>
        </w:rPr>
        <w:t>多</w:t>
      </w:r>
      <w:r>
        <w:rPr>
          <w:rFonts w:ascii="FangSong" w:hAnsi="FangSong" w:eastAsia="FangSong" w:cs="FangSong"/>
          <w:sz w:val="31"/>
          <w:szCs w:val="31"/>
          <w:spacing w:val="11"/>
        </w:rPr>
        <w:t>项省级及以上层次的标志性成果，与专业建设无关的成果原</w:t>
      </w:r>
    </w:p>
    <w:p>
      <w:pPr>
        <w:ind w:left="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则上不予采用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right="307" w:firstLine="663"/>
        <w:spacing w:before="165" w:line="347" w:lineRule="auto"/>
        <w:tabs>
          <w:tab w:val="left" w:leader="empty" w:pos="81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6"/>
        </w:rPr>
        <w:t>(五)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6"/>
        </w:rPr>
        <w:t>招生就业稳定。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省级职业教育示范性专业点的生源</w:t>
      </w:r>
      <w:r>
        <w:rPr>
          <w:rFonts w:ascii="FangSong" w:hAnsi="FangSong" w:eastAsia="FangSong" w:cs="FangSong"/>
          <w:sz w:val="31"/>
          <w:szCs w:val="31"/>
        </w:rPr>
        <w:t>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量较好，能够保持一定办学规模，专业点学历教育年招生人数</w:t>
      </w:r>
      <w:r>
        <w:rPr>
          <w:rFonts w:ascii="FangSong" w:hAnsi="FangSong" w:eastAsia="FangSong" w:cs="FangSong"/>
          <w:sz w:val="31"/>
          <w:szCs w:val="31"/>
          <w:spacing w:val="7"/>
        </w:rPr>
        <w:t>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则上不</w:t>
      </w:r>
      <w:r>
        <w:rPr>
          <w:rFonts w:ascii="FangSong" w:hAnsi="FangSong" w:eastAsia="FangSong" w:cs="FangSong"/>
          <w:sz w:val="31"/>
          <w:szCs w:val="31"/>
          <w:spacing w:val="7"/>
        </w:rPr>
        <w:t>低</w:t>
      </w:r>
      <w:r>
        <w:rPr>
          <w:rFonts w:ascii="FangSong" w:hAnsi="FangSong" w:eastAsia="FangSong" w:cs="FangSong"/>
          <w:sz w:val="31"/>
          <w:szCs w:val="31"/>
          <w:spacing w:val="5"/>
        </w:rPr>
        <w:t>于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100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人，新兴专业点和未来专业点可适当降低招生规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模要求，高职专业点招生计划完成率不低于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90%。示范性专业</w:t>
      </w:r>
      <w:r>
        <w:rPr>
          <w:rFonts w:ascii="FangSong" w:hAnsi="FangSong" w:eastAsia="FangSong" w:cs="FangSong"/>
          <w:sz w:val="31"/>
          <w:szCs w:val="31"/>
          <w:spacing w:val="8"/>
        </w:rPr>
        <w:t>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学生就业质量高，就业创业能力强，初次毕业去向落实率连续</w:t>
      </w:r>
      <w:r>
        <w:rPr>
          <w:rFonts w:ascii="FangSong" w:hAnsi="FangSong" w:eastAsia="FangSong" w:cs="FangSong"/>
          <w:sz w:val="31"/>
          <w:szCs w:val="31"/>
          <w:spacing w:val="7"/>
        </w:rPr>
        <w:t>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年不低于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85%，就业稳定、专业对口，用人单位满意度、学生</w:t>
      </w:r>
      <w:r>
        <w:rPr>
          <w:rFonts w:ascii="FangSong" w:hAnsi="FangSong" w:eastAsia="FangSong" w:cs="FangSong"/>
          <w:sz w:val="31"/>
          <w:szCs w:val="31"/>
          <w:spacing w:val="8"/>
        </w:rPr>
        <w:t>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业满意度高。</w:t>
      </w:r>
    </w:p>
    <w:p>
      <w:pPr>
        <w:ind w:left="651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</w:t>
      </w:r>
      <w:r>
        <w:rPr>
          <w:rFonts w:ascii="SimHei" w:hAnsi="SimHei" w:eastAsia="SimHei" w:cs="SimHei"/>
          <w:sz w:val="31"/>
          <w:szCs w:val="31"/>
          <w:spacing w:val="5"/>
        </w:rPr>
        <w:t>、建设任务</w:t>
      </w:r>
    </w:p>
    <w:p>
      <w:pPr>
        <w:ind w:left="644"/>
        <w:spacing w:before="205" w:line="58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  <w:position w:val="20"/>
        </w:rPr>
        <w:t>省</w:t>
      </w:r>
      <w:r>
        <w:rPr>
          <w:rFonts w:ascii="FangSong" w:hAnsi="FangSong" w:eastAsia="FangSong" w:cs="FangSong"/>
          <w:sz w:val="31"/>
          <w:szCs w:val="31"/>
          <w:spacing w:val="11"/>
          <w:position w:val="20"/>
        </w:rPr>
        <w:t>级职业教育示范性专业点应以服务行业产业发展为核心，</w:t>
      </w:r>
    </w:p>
    <w:p>
      <w:pPr>
        <w:ind w:left="11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重点在以下方面充分发挥示范引领作用。</w:t>
      </w:r>
    </w:p>
    <w:p>
      <w:pPr>
        <w:ind w:left="2" w:firstLine="661"/>
        <w:spacing w:before="171" w:line="347" w:lineRule="auto"/>
        <w:tabs>
          <w:tab w:val="left" w:leader="empty" w:pos="81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16"/>
        </w:rPr>
        <w:t>(</w:t>
      </w:r>
      <w:r>
        <w:rPr>
          <w:rFonts w:ascii="STKaiti" w:hAnsi="STKaiti" w:eastAsia="STKaiti" w:cs="STKaiti"/>
          <w:sz w:val="31"/>
          <w:szCs w:val="31"/>
          <w:spacing w:val="14"/>
        </w:rPr>
        <w:t>一</w:t>
      </w:r>
      <w:r>
        <w:rPr>
          <w:rFonts w:ascii="STKaiti" w:hAnsi="STKaiti" w:eastAsia="STKaiti" w:cs="STKaiti"/>
          <w:sz w:val="31"/>
          <w:szCs w:val="31"/>
          <w:spacing w:val="8"/>
        </w:rPr>
        <w:t>)</w:t>
      </w:r>
      <w:r>
        <w:rPr>
          <w:rFonts w:ascii="STKaiti" w:hAnsi="STKaiti" w:eastAsia="STKaiti" w:cs="STKaiti"/>
          <w:sz w:val="31"/>
          <w:szCs w:val="31"/>
          <w:spacing w:val="8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8"/>
        </w:rPr>
        <w:t>服务产业创新发展。</w:t>
      </w:r>
      <w:r>
        <w:rPr>
          <w:rFonts w:ascii="STKaiti" w:hAnsi="STKaiti" w:eastAsia="STKaiti" w:cs="STKait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积极服务实施“十大战略”，促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9"/>
        </w:rPr>
        <w:t>进</w:t>
      </w:r>
      <w:r>
        <w:rPr>
          <w:rFonts w:ascii="FangSong" w:hAnsi="FangSong" w:eastAsia="FangSong" w:cs="FangSong"/>
          <w:sz w:val="31"/>
          <w:szCs w:val="31"/>
          <w:spacing w:val="11"/>
        </w:rPr>
        <w:t>专业结构与产业结构紧密对接。主动服务“一县一省级开发区”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改革，积极参与省级骨干职教集团建设，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以高素质专业技术技能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2"/>
        </w:rPr>
        <w:t>人</w:t>
      </w:r>
      <w:r>
        <w:rPr>
          <w:rFonts w:ascii="FangSong" w:hAnsi="FangSong" w:eastAsia="FangSong" w:cs="FangSong"/>
          <w:sz w:val="31"/>
          <w:szCs w:val="31"/>
          <w:spacing w:val="20"/>
        </w:rPr>
        <w:t>才</w:t>
      </w:r>
      <w:r>
        <w:rPr>
          <w:rFonts w:ascii="FangSong" w:hAnsi="FangSong" w:eastAsia="FangSong" w:cs="FangSong"/>
          <w:sz w:val="31"/>
          <w:szCs w:val="31"/>
          <w:spacing w:val="16"/>
        </w:rPr>
        <w:t>培养和技术研发为主线，共建工匠实验室、工程(技术)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研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2"/>
        </w:rPr>
        <w:t>究</w:t>
      </w:r>
      <w:r>
        <w:rPr>
          <w:rFonts w:ascii="FangSong" w:hAnsi="FangSong" w:eastAsia="FangSong" w:cs="FangSong"/>
          <w:sz w:val="31"/>
          <w:szCs w:val="31"/>
          <w:spacing w:val="21"/>
        </w:rPr>
        <w:t>中</w:t>
      </w:r>
      <w:r>
        <w:rPr>
          <w:rFonts w:ascii="FangSong" w:hAnsi="FangSong" w:eastAsia="FangSong" w:cs="FangSong"/>
          <w:sz w:val="31"/>
          <w:szCs w:val="31"/>
          <w:spacing w:val="11"/>
        </w:rPr>
        <w:t>心、产品设计中心、工艺技术开发中心等协同创新平台，为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2"/>
        </w:rPr>
        <w:t>企</w:t>
      </w:r>
      <w:r>
        <w:rPr>
          <w:rFonts w:ascii="FangSong" w:hAnsi="FangSong" w:eastAsia="FangSong" w:cs="FangSong"/>
          <w:sz w:val="31"/>
          <w:szCs w:val="31"/>
          <w:spacing w:val="21"/>
        </w:rPr>
        <w:t>业</w:t>
      </w:r>
      <w:r>
        <w:rPr>
          <w:rFonts w:ascii="FangSong" w:hAnsi="FangSong" w:eastAsia="FangSong" w:cs="FangSong"/>
          <w:sz w:val="31"/>
          <w:szCs w:val="31"/>
          <w:spacing w:val="11"/>
        </w:rPr>
        <w:t>提供新产品、新工艺开发以及技术改造升级、咨询服务，打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2"/>
        </w:rPr>
        <w:t>通</w:t>
      </w:r>
      <w:r>
        <w:rPr>
          <w:rFonts w:ascii="FangSong" w:hAnsi="FangSong" w:eastAsia="FangSong" w:cs="FangSong"/>
          <w:sz w:val="31"/>
          <w:szCs w:val="31"/>
          <w:spacing w:val="21"/>
        </w:rPr>
        <w:t>科</w:t>
      </w:r>
      <w:r>
        <w:rPr>
          <w:rFonts w:ascii="FangSong" w:hAnsi="FangSong" w:eastAsia="FangSong" w:cs="FangSong"/>
          <w:sz w:val="31"/>
          <w:szCs w:val="31"/>
          <w:spacing w:val="11"/>
        </w:rPr>
        <w:t>研开发、技术创新、成果转移链条，促进企业技术创新、产</w:t>
      </w:r>
    </w:p>
    <w:p>
      <w:pPr>
        <w:ind w:left="36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品</w:t>
      </w:r>
      <w:r>
        <w:rPr>
          <w:rFonts w:ascii="FangSong" w:hAnsi="FangSong" w:eastAsia="FangSong" w:cs="FangSong"/>
          <w:sz w:val="31"/>
          <w:szCs w:val="31"/>
          <w:spacing w:val="4"/>
        </w:rPr>
        <w:t>升级。面向新业态、新职业、新岗位，广泛开展技术技能培训。</w:t>
      </w:r>
    </w:p>
    <w:p>
      <w:pPr>
        <w:ind w:left="663"/>
        <w:spacing w:before="162" w:line="477" w:lineRule="exact"/>
        <w:tabs>
          <w:tab w:val="left" w:leader="empty" w:pos="81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  <w:position w:val="5"/>
        </w:rPr>
        <w:tab/>
      </w:r>
      <w:r>
        <w:rPr>
          <w:rFonts w:ascii="STKaiti" w:hAnsi="STKaiti" w:eastAsia="STKaiti" w:cs="STKaiti"/>
          <w:sz w:val="31"/>
          <w:szCs w:val="31"/>
          <w:spacing w:val="10"/>
          <w:position w:val="5"/>
        </w:rPr>
        <w:t>(二)</w:t>
      </w:r>
      <w:r>
        <w:rPr>
          <w:rFonts w:ascii="STKaiti" w:hAnsi="STKaiti" w:eastAsia="STKaiti" w:cs="STKaiti"/>
          <w:sz w:val="31"/>
          <w:szCs w:val="31"/>
          <w:spacing w:val="10"/>
          <w:position w:val="5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9"/>
          <w:position w:val="5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5"/>
          <w:position w:val="5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5"/>
          <w:position w:val="5"/>
        </w:rPr>
        <w:t>改革人才培养模式。</w:t>
      </w:r>
      <w:r>
        <w:rPr>
          <w:rFonts w:ascii="STKaiti" w:hAnsi="STKaiti" w:eastAsia="STKaiti" w:cs="STKaiti"/>
          <w:sz w:val="31"/>
          <w:szCs w:val="31"/>
          <w:spacing w:val="5"/>
          <w:position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  <w:position w:val="5"/>
        </w:rPr>
        <w:t>坚持立德树人根本任务，明确专</w:t>
      </w:r>
    </w:p>
    <w:p>
      <w:pPr>
        <w:sectPr>
          <w:footerReference w:type="default" r:id="rId6"/>
          <w:pgSz w:w="11906" w:h="16838"/>
          <w:pgMar w:top="1431" w:right="1034" w:bottom="1922" w:left="1551" w:header="0" w:footer="1638" w:gutter="0"/>
        </w:sectPr>
        <w:rPr/>
      </w:pPr>
    </w:p>
    <w:p>
      <w:pPr>
        <w:ind w:left="12" w:hanging="1"/>
        <w:spacing w:before="341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业人才培养定位，优化学生知识、能力和素质结构，增强专业</w:t>
      </w:r>
      <w:r>
        <w:rPr>
          <w:rFonts w:ascii="FangSong" w:hAnsi="FangSong" w:eastAsia="FangSong" w:cs="FangSong"/>
          <w:sz w:val="31"/>
          <w:szCs w:val="31"/>
          <w:spacing w:val="6"/>
        </w:rPr>
        <w:t>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才</w:t>
      </w:r>
      <w:r>
        <w:rPr>
          <w:rFonts w:ascii="FangSong" w:hAnsi="FangSong" w:eastAsia="FangSong" w:cs="FangSong"/>
          <w:sz w:val="31"/>
          <w:szCs w:val="31"/>
          <w:spacing w:val="21"/>
        </w:rPr>
        <w:t>供</w:t>
      </w:r>
      <w:r>
        <w:rPr>
          <w:rFonts w:ascii="FangSong" w:hAnsi="FangSong" w:eastAsia="FangSong" w:cs="FangSong"/>
          <w:sz w:val="31"/>
          <w:szCs w:val="31"/>
          <w:spacing w:val="11"/>
        </w:rPr>
        <w:t>给能力。引领创新人才培养模式，加强师资队伍建设、课程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体</w:t>
      </w:r>
      <w:r>
        <w:rPr>
          <w:rFonts w:ascii="FangSong" w:hAnsi="FangSong" w:eastAsia="FangSong" w:cs="FangSong"/>
          <w:sz w:val="31"/>
          <w:szCs w:val="31"/>
          <w:spacing w:val="15"/>
        </w:rPr>
        <w:t>系</w:t>
      </w:r>
      <w:r>
        <w:rPr>
          <w:rFonts w:ascii="FangSong" w:hAnsi="FangSong" w:eastAsia="FangSong" w:cs="FangSong"/>
          <w:sz w:val="31"/>
          <w:szCs w:val="31"/>
          <w:spacing w:val="11"/>
        </w:rPr>
        <w:t>建设、教学模式改革和教学质量保障。与行业企业协同“双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元</w:t>
      </w:r>
      <w:r>
        <w:rPr>
          <w:rFonts w:ascii="FangSong" w:hAnsi="FangSong" w:eastAsia="FangSong" w:cs="FangSong"/>
          <w:sz w:val="31"/>
          <w:szCs w:val="31"/>
          <w:spacing w:val="20"/>
        </w:rPr>
        <w:t>”</w:t>
      </w:r>
      <w:r>
        <w:rPr>
          <w:rFonts w:ascii="FangSong" w:hAnsi="FangSong" w:eastAsia="FangSong" w:cs="FangSong"/>
          <w:sz w:val="31"/>
          <w:szCs w:val="31"/>
          <w:spacing w:val="11"/>
        </w:rPr>
        <w:t>育人，建立产教深度融合培养机制，推进校企合作向深向实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发展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  <w:r>
        <w:rPr>
          <w:rFonts w:ascii="FangSong" w:hAnsi="FangSong" w:eastAsia="FangSong" w:cs="FangSong"/>
          <w:sz w:val="31"/>
          <w:szCs w:val="31"/>
          <w:spacing w:val="4"/>
        </w:rPr>
        <w:t>积极开展现代学徒制培养，参与实施现场工程师培育计划。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依</w:t>
      </w:r>
      <w:r>
        <w:rPr>
          <w:rFonts w:ascii="FangSong" w:hAnsi="FangSong" w:eastAsia="FangSong" w:cs="FangSong"/>
          <w:sz w:val="31"/>
          <w:szCs w:val="31"/>
          <w:spacing w:val="21"/>
        </w:rPr>
        <w:t>托</w:t>
      </w:r>
      <w:r>
        <w:rPr>
          <w:rFonts w:ascii="FangSong" w:hAnsi="FangSong" w:eastAsia="FangSong" w:cs="FangSong"/>
          <w:sz w:val="31"/>
          <w:szCs w:val="31"/>
          <w:spacing w:val="11"/>
        </w:rPr>
        <w:t>中等职业教育示范专业点探索专业大类培养模式。健全行业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企</w:t>
      </w:r>
      <w:r>
        <w:rPr>
          <w:rFonts w:ascii="FangSong" w:hAnsi="FangSong" w:eastAsia="FangSong" w:cs="FangSong"/>
          <w:sz w:val="31"/>
          <w:szCs w:val="31"/>
          <w:spacing w:val="21"/>
        </w:rPr>
        <w:t>业</w:t>
      </w:r>
      <w:r>
        <w:rPr>
          <w:rFonts w:ascii="FangSong" w:hAnsi="FangSong" w:eastAsia="FangSong" w:cs="FangSong"/>
          <w:sz w:val="31"/>
          <w:szCs w:val="31"/>
          <w:spacing w:val="11"/>
        </w:rPr>
        <w:t>全面参与的专业人才培养评价制度，对专业培养目标和培养</w:t>
      </w:r>
    </w:p>
    <w:p>
      <w:pPr>
        <w:ind w:left="10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模</w:t>
      </w:r>
      <w:r>
        <w:rPr>
          <w:rFonts w:ascii="FangSong" w:hAnsi="FangSong" w:eastAsia="FangSong" w:cs="FangSong"/>
          <w:sz w:val="31"/>
          <w:szCs w:val="31"/>
          <w:spacing w:val="11"/>
        </w:rPr>
        <w:t>式</w:t>
      </w:r>
      <w:r>
        <w:rPr>
          <w:rFonts w:ascii="FangSong" w:hAnsi="FangSong" w:eastAsia="FangSong" w:cs="FangSong"/>
          <w:sz w:val="31"/>
          <w:szCs w:val="31"/>
          <w:spacing w:val="6"/>
        </w:rPr>
        <w:t>等进行动态调整、持续改进。</w:t>
      </w:r>
    </w:p>
    <w:p>
      <w:pPr>
        <w:ind w:left="10" w:right="23" w:firstLine="663"/>
        <w:spacing w:before="168" w:line="347" w:lineRule="auto"/>
        <w:tabs>
          <w:tab w:val="left" w:leader="empty" w:pos="171"/>
          <w:tab w:val="left" w:leader="empty" w:pos="82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6"/>
        </w:rPr>
        <w:t>(</w:t>
      </w:r>
      <w:r>
        <w:rPr>
          <w:rFonts w:ascii="STKaiti" w:hAnsi="STKaiti" w:eastAsia="STKaiti" w:cs="STKaiti"/>
          <w:sz w:val="31"/>
          <w:szCs w:val="31"/>
          <w:spacing w:val="5"/>
        </w:rPr>
        <w:t>三</w:t>
      </w:r>
      <w:r>
        <w:rPr>
          <w:rFonts w:ascii="STKaiti" w:hAnsi="STKaiti" w:eastAsia="STKaiti" w:cs="STKaiti"/>
          <w:sz w:val="31"/>
          <w:szCs w:val="31"/>
          <w:spacing w:val="3"/>
        </w:rPr>
        <w:t>)</w:t>
      </w:r>
      <w:r>
        <w:rPr>
          <w:rFonts w:ascii="STKaiti" w:hAnsi="STKaiti" w:eastAsia="STKaiti" w:cs="STKaiti"/>
          <w:sz w:val="31"/>
          <w:szCs w:val="31"/>
          <w:spacing w:val="3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3"/>
        </w:rPr>
        <w:t>推动专业改造升级。</w:t>
      </w:r>
      <w:r>
        <w:rPr>
          <w:rFonts w:ascii="STKaiti" w:hAnsi="STKaiti" w:eastAsia="STKaiti" w:cs="STKaiti"/>
          <w:sz w:val="31"/>
          <w:szCs w:val="31"/>
          <w:spacing w:val="3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3"/>
        </w:rPr>
        <w:t>带头落实好《职业教育专业目录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  <w:spacing w:val="-10"/>
        </w:rPr>
        <w:t>(202</w:t>
      </w:r>
      <w:r>
        <w:rPr>
          <w:rFonts w:ascii="FangSong" w:hAnsi="FangSong" w:eastAsia="FangSong" w:cs="FangSong"/>
          <w:sz w:val="31"/>
          <w:szCs w:val="31"/>
          <w:spacing w:val="-7"/>
        </w:rPr>
        <w:t>1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》和《职业教育专业简介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(2022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年修订)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》相关要求，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切实彰显职业教育类型特征，推动基于行业、产业、职业和岗</w:t>
      </w:r>
      <w:r>
        <w:rPr>
          <w:rFonts w:ascii="FangSong" w:hAnsi="FangSong" w:eastAsia="FangSong" w:cs="FangSong"/>
          <w:sz w:val="31"/>
          <w:szCs w:val="31"/>
          <w:spacing w:val="7"/>
        </w:rPr>
        <w:t>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的专业改造，及时把新方法、新技术、新工艺、新标准引入专</w:t>
      </w:r>
      <w:r>
        <w:rPr>
          <w:rFonts w:ascii="FangSong" w:hAnsi="FangSong" w:eastAsia="FangSong" w:cs="FangSong"/>
          <w:sz w:val="31"/>
          <w:szCs w:val="31"/>
          <w:spacing w:val="7"/>
        </w:rPr>
        <w:t>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教学实践，加快推进专业建设高端化、低碳化、数字化升级，</w:t>
      </w:r>
      <w:r>
        <w:rPr>
          <w:rFonts w:ascii="FangSong" w:hAnsi="FangSong" w:eastAsia="FangSong" w:cs="FangSong"/>
          <w:sz w:val="31"/>
          <w:szCs w:val="31"/>
          <w:spacing w:val="7"/>
        </w:rPr>
        <w:t>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造一批核心课程、优质教材、教师团队和实践项目。以示范性</w:t>
      </w:r>
      <w:r>
        <w:rPr>
          <w:rFonts w:ascii="FangSong" w:hAnsi="FangSong" w:eastAsia="FangSong" w:cs="FangSong"/>
          <w:sz w:val="31"/>
          <w:szCs w:val="31"/>
          <w:spacing w:val="7"/>
        </w:rPr>
        <w:t>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业点建设为</w:t>
      </w:r>
      <w:r>
        <w:rPr>
          <w:rFonts w:ascii="FangSong" w:hAnsi="FangSong" w:eastAsia="FangSong" w:cs="FangSong"/>
          <w:sz w:val="31"/>
          <w:szCs w:val="31"/>
          <w:spacing w:val="4"/>
        </w:rPr>
        <w:t>引</w:t>
      </w:r>
      <w:r>
        <w:rPr>
          <w:rFonts w:ascii="FangSong" w:hAnsi="FangSong" w:eastAsia="FangSong" w:cs="FangSong"/>
          <w:sz w:val="31"/>
          <w:szCs w:val="31"/>
          <w:spacing w:val="3"/>
        </w:rPr>
        <w:t>领，加强高水平专业群建设，优化专业群发展模式，</w:t>
      </w:r>
    </w:p>
    <w:p>
      <w:pPr>
        <w:ind w:left="4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以点带</w:t>
      </w:r>
      <w:r>
        <w:rPr>
          <w:rFonts w:ascii="FangSong" w:hAnsi="FangSong" w:eastAsia="FangSong" w:cs="FangSong"/>
          <w:sz w:val="31"/>
          <w:szCs w:val="31"/>
          <w:spacing w:val="-7"/>
        </w:rPr>
        <w:t>群</w:t>
      </w:r>
      <w:r>
        <w:rPr>
          <w:rFonts w:ascii="FangSong" w:hAnsi="FangSong" w:eastAsia="FangSong" w:cs="FangSong"/>
          <w:sz w:val="31"/>
          <w:szCs w:val="31"/>
          <w:spacing w:val="-4"/>
        </w:rPr>
        <w:t>，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强化专业协作、资源共享，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形成专业集群优势。</w:t>
      </w:r>
    </w:p>
    <w:p>
      <w:pPr>
        <w:ind w:left="11" w:right="8" w:firstLine="662"/>
        <w:spacing w:before="163" w:line="349" w:lineRule="auto"/>
        <w:tabs>
          <w:tab w:val="left" w:leader="empty" w:pos="82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16"/>
        </w:rPr>
        <w:t>(四</w:t>
      </w:r>
      <w:r>
        <w:rPr>
          <w:rFonts w:ascii="STKaiti" w:hAnsi="STKaiti" w:eastAsia="STKaiti" w:cs="STKaiti"/>
          <w:sz w:val="31"/>
          <w:szCs w:val="31"/>
          <w:spacing w:val="8"/>
        </w:rPr>
        <w:t>)</w:t>
      </w:r>
      <w:r>
        <w:rPr>
          <w:rFonts w:ascii="STKaiti" w:hAnsi="STKaiti" w:eastAsia="STKaiti" w:cs="STKaiti"/>
          <w:sz w:val="31"/>
          <w:szCs w:val="31"/>
          <w:spacing w:val="8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8"/>
        </w:rPr>
        <w:t>优化专业结构布局。</w:t>
      </w:r>
      <w:r>
        <w:rPr>
          <w:rFonts w:ascii="STKaiti" w:hAnsi="STKaiti" w:eastAsia="STKaiti" w:cs="STKait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示范性专业点应在专业结构优化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中</w:t>
      </w:r>
      <w:r>
        <w:rPr>
          <w:rFonts w:ascii="FangSong" w:hAnsi="FangSong" w:eastAsia="FangSong" w:cs="FangSong"/>
          <w:sz w:val="31"/>
          <w:szCs w:val="31"/>
          <w:spacing w:val="6"/>
        </w:rPr>
        <w:t>发挥引领带动作用，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以区域、行业为纽带，形成一批符合当地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产业发展需求、促进职业技能培训和创新社会服务方式的中职</w:t>
      </w:r>
      <w:r>
        <w:rPr>
          <w:rFonts w:ascii="FangSong" w:hAnsi="FangSong" w:eastAsia="FangSong" w:cs="FangSong"/>
          <w:sz w:val="31"/>
          <w:szCs w:val="31"/>
          <w:spacing w:val="6"/>
        </w:rPr>
        <w:t>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业</w:t>
      </w:r>
      <w:r>
        <w:rPr>
          <w:rFonts w:ascii="FangSong" w:hAnsi="FangSong" w:eastAsia="FangSong" w:cs="FangSong"/>
          <w:sz w:val="31"/>
          <w:szCs w:val="31"/>
          <w:spacing w:val="4"/>
        </w:rPr>
        <w:t>，注重为高校培养输送优质生源。辐射建设一批面向新兴产业、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未来产业的高职专业，培育更多高水平高职专业群。带动发展</w:t>
      </w:r>
      <w:r>
        <w:rPr>
          <w:rFonts w:ascii="FangSong" w:hAnsi="FangSong" w:eastAsia="FangSong" w:cs="FangSong"/>
          <w:sz w:val="31"/>
          <w:szCs w:val="31"/>
          <w:spacing w:val="6"/>
        </w:rPr>
        <w:t>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批服务产业基础高级化、产业链现代化的职业本科专业。优化</w:t>
      </w:r>
      <w:r>
        <w:rPr>
          <w:rFonts w:ascii="FangSong" w:hAnsi="FangSong" w:eastAsia="FangSong" w:cs="FangSong"/>
          <w:sz w:val="31"/>
          <w:szCs w:val="31"/>
          <w:spacing w:val="6"/>
        </w:rPr>
        <w:t>不</w:t>
      </w:r>
    </w:p>
    <w:p>
      <w:pPr>
        <w:sectPr>
          <w:footerReference w:type="default" r:id="rId7"/>
          <w:pgSz w:w="11906" w:h="16838"/>
          <w:pgMar w:top="1431" w:right="1236" w:bottom="1925" w:left="1540" w:header="0" w:footer="163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ind w:left="38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同层</w:t>
      </w:r>
      <w:r>
        <w:rPr>
          <w:rFonts w:ascii="FangSong" w:hAnsi="FangSong" w:eastAsia="FangSong" w:cs="FangSong"/>
          <w:sz w:val="31"/>
          <w:szCs w:val="31"/>
        </w:rPr>
        <w:t>次的专业定位，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积极参与职业教育贯通衔接培养。</w:t>
      </w:r>
    </w:p>
    <w:p>
      <w:pPr>
        <w:ind w:firstLine="662"/>
        <w:spacing w:before="168" w:line="347" w:lineRule="auto"/>
        <w:tabs>
          <w:tab w:val="left" w:leader="empty" w:pos="81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16"/>
        </w:rPr>
        <w:t>(五</w:t>
      </w:r>
      <w:r>
        <w:rPr>
          <w:rFonts w:ascii="STKaiti" w:hAnsi="STKaiti" w:eastAsia="STKaiti" w:cs="STKaiti"/>
          <w:sz w:val="31"/>
          <w:szCs w:val="31"/>
          <w:spacing w:val="9"/>
        </w:rPr>
        <w:t>)</w:t>
      </w:r>
      <w:r>
        <w:rPr>
          <w:rFonts w:ascii="STKaiti" w:hAnsi="STKaiti" w:eastAsia="STKaiti" w:cs="STKaiti"/>
          <w:sz w:val="31"/>
          <w:szCs w:val="31"/>
          <w:spacing w:val="8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8"/>
        </w:rPr>
        <w:t>提升专业建设水平。</w:t>
      </w:r>
      <w:r>
        <w:rPr>
          <w:rFonts w:ascii="STKaiti" w:hAnsi="STKaiti" w:eastAsia="STKaiti" w:cs="STKait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示范性专业点建设应坚持质量为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先</w:t>
      </w:r>
      <w:r>
        <w:rPr>
          <w:rFonts w:ascii="FangSong" w:hAnsi="FangSong" w:eastAsia="FangSong" w:cs="FangSong"/>
          <w:sz w:val="31"/>
          <w:szCs w:val="31"/>
          <w:spacing w:val="17"/>
        </w:rPr>
        <w:t>，</w:t>
      </w:r>
      <w:r>
        <w:rPr>
          <w:rFonts w:ascii="FangSong" w:hAnsi="FangSong" w:eastAsia="FangSong" w:cs="FangSong"/>
          <w:sz w:val="31"/>
          <w:szCs w:val="31"/>
          <w:spacing w:val="11"/>
        </w:rPr>
        <w:t>着力深化教师、教材、教法“三教”改革，全面提升“双师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型”</w:t>
      </w:r>
      <w:r>
        <w:rPr>
          <w:rFonts w:ascii="FangSong" w:hAnsi="FangSong" w:eastAsia="FangSong" w:cs="FangSong"/>
          <w:sz w:val="31"/>
          <w:szCs w:val="31"/>
          <w:spacing w:val="11"/>
        </w:rPr>
        <w:t>教师比例和素质，加强教材建设与管理，积极围绕区域、行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业和专业优势，建设一批专业教学资源、精品在线开放课程和</w:t>
      </w:r>
      <w:r>
        <w:rPr>
          <w:rFonts w:ascii="FangSong" w:hAnsi="FangSong" w:eastAsia="FangSong" w:cs="FangSong"/>
          <w:sz w:val="31"/>
          <w:szCs w:val="31"/>
          <w:spacing w:val="6"/>
        </w:rPr>
        <w:t>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拟仿真数字化资源，并在全省开放共享。强化专业课教师课程</w:t>
      </w:r>
      <w:r>
        <w:rPr>
          <w:rFonts w:ascii="FangSong" w:hAnsi="FangSong" w:eastAsia="FangSong" w:cs="FangSong"/>
          <w:sz w:val="31"/>
          <w:szCs w:val="31"/>
          <w:spacing w:val="6"/>
        </w:rPr>
        <w:t>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政建设示范</w:t>
      </w:r>
      <w:r>
        <w:rPr>
          <w:rFonts w:ascii="FangSong" w:hAnsi="FangSong" w:eastAsia="FangSong" w:cs="FangSong"/>
          <w:sz w:val="31"/>
          <w:szCs w:val="31"/>
          <w:spacing w:val="3"/>
        </w:rPr>
        <w:t>作用，将思政教育全面融入人才培养方案和专业课程，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深</w:t>
      </w:r>
      <w:r>
        <w:rPr>
          <w:rFonts w:ascii="FangSong" w:hAnsi="FangSong" w:eastAsia="FangSong" w:cs="FangSong"/>
          <w:sz w:val="31"/>
          <w:szCs w:val="31"/>
          <w:spacing w:val="9"/>
        </w:rPr>
        <w:t>化职业精神、劳模精神、劳动精神、工匠精神等专题教育。</w:t>
      </w:r>
    </w:p>
    <w:p>
      <w:pPr>
        <w:ind w:left="641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五、组织实</w:t>
      </w:r>
      <w:r>
        <w:rPr>
          <w:rFonts w:ascii="SimHei" w:hAnsi="SimHei" w:eastAsia="SimHei" w:cs="SimHei"/>
          <w:sz w:val="31"/>
          <w:szCs w:val="31"/>
          <w:spacing w:val="6"/>
        </w:rPr>
        <w:t>施</w:t>
      </w:r>
    </w:p>
    <w:p>
      <w:pPr>
        <w:ind w:left="11" w:right="82" w:firstLine="624"/>
        <w:spacing w:before="205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2023—2025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年，按照分批建设、总量控制、期满考核、优胜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劣</w:t>
      </w:r>
      <w:r>
        <w:rPr>
          <w:rFonts w:ascii="FangSong" w:hAnsi="FangSong" w:eastAsia="FangSong" w:cs="FangSong"/>
          <w:sz w:val="31"/>
          <w:szCs w:val="31"/>
          <w:spacing w:val="12"/>
        </w:rPr>
        <w:t>汰</w:t>
      </w:r>
      <w:r>
        <w:rPr>
          <w:rFonts w:ascii="FangSong" w:hAnsi="FangSong" w:eastAsia="FangSong" w:cs="FangSong"/>
          <w:sz w:val="31"/>
          <w:szCs w:val="31"/>
          <w:spacing w:val="11"/>
        </w:rPr>
        <w:t>的原则，拟遴选三批省级职业教育示范性专业点，各批次建</w:t>
      </w:r>
    </w:p>
    <w:p>
      <w:pPr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设</w:t>
      </w:r>
      <w:r>
        <w:rPr>
          <w:rFonts w:ascii="FangSong" w:hAnsi="FangSong" w:eastAsia="FangSong" w:cs="FangSong"/>
          <w:sz w:val="31"/>
          <w:szCs w:val="31"/>
          <w:spacing w:val="4"/>
        </w:rPr>
        <w:t>周期不超过两年。</w:t>
      </w:r>
    </w:p>
    <w:p>
      <w:pPr>
        <w:ind w:left="12" w:right="82" w:firstLine="651"/>
        <w:spacing w:before="164" w:line="344" w:lineRule="auto"/>
        <w:tabs>
          <w:tab w:val="left" w:leader="empty" w:pos="81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6"/>
        </w:rPr>
        <w:t>(一)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6"/>
        </w:rPr>
        <w:t>申报遴选。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省级职业教育示范性专业点遴选坚持质</w:t>
      </w:r>
      <w:r>
        <w:rPr>
          <w:rFonts w:ascii="FangSong" w:hAnsi="FangSong" w:eastAsia="FangSong" w:cs="FangSong"/>
          <w:sz w:val="31"/>
          <w:szCs w:val="31"/>
        </w:rPr>
        <w:t>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为</w:t>
      </w:r>
      <w:r>
        <w:rPr>
          <w:rFonts w:ascii="FangSong" w:hAnsi="FangSong" w:eastAsia="FangSong" w:cs="FangSong"/>
          <w:sz w:val="31"/>
          <w:szCs w:val="31"/>
          <w:spacing w:val="11"/>
        </w:rPr>
        <w:t>先、服务导向、扶优扶特、示范带动，省教育厅将分年度下发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申</w:t>
      </w:r>
      <w:r>
        <w:rPr>
          <w:rFonts w:ascii="FangSong" w:hAnsi="FangSong" w:eastAsia="FangSong" w:cs="FangSong"/>
          <w:sz w:val="31"/>
          <w:szCs w:val="31"/>
          <w:spacing w:val="11"/>
        </w:rPr>
        <w:t>报遴选通知，满足条件的学校按要求提交申报材料，分级遴选</w:t>
      </w:r>
    </w:p>
    <w:p>
      <w:pPr>
        <w:ind w:left="3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上</w:t>
      </w:r>
      <w:r>
        <w:rPr>
          <w:rFonts w:ascii="FangSong" w:hAnsi="FangSong" w:eastAsia="FangSong" w:cs="FangSong"/>
          <w:sz w:val="31"/>
          <w:szCs w:val="31"/>
          <w:spacing w:val="7"/>
        </w:rPr>
        <w:t>报、审核确定并公布示范性专业点名单。</w:t>
      </w:r>
    </w:p>
    <w:p>
      <w:pPr>
        <w:ind w:firstLine="662"/>
        <w:spacing w:before="169" w:line="345" w:lineRule="auto"/>
        <w:tabs>
          <w:tab w:val="left" w:leader="empty" w:pos="81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6"/>
        </w:rPr>
        <w:t>(二)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6"/>
        </w:rPr>
        <w:t>项目建设。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遴选确定的示范性专业点所在学校须围</w:t>
      </w:r>
      <w:r>
        <w:rPr>
          <w:rFonts w:ascii="FangSong" w:hAnsi="FangSong" w:eastAsia="FangSong" w:cs="FangSong"/>
          <w:sz w:val="31"/>
          <w:szCs w:val="31"/>
        </w:rPr>
        <w:t>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本文件明确</w:t>
      </w:r>
      <w:r>
        <w:rPr>
          <w:rFonts w:ascii="FangSong" w:hAnsi="FangSong" w:eastAsia="FangSong" w:cs="FangSong"/>
          <w:sz w:val="31"/>
          <w:szCs w:val="31"/>
          <w:spacing w:val="3"/>
        </w:rPr>
        <w:t>的五项重点建设任务编制建设实施方案，逐级审核后，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报省教育厅复核、备案，并严格按照备案的建设方案开展建设</w:t>
      </w:r>
      <w:r>
        <w:rPr>
          <w:rFonts w:ascii="FangSong" w:hAnsi="FangSong" w:eastAsia="FangSong" w:cs="FangSong"/>
          <w:sz w:val="31"/>
          <w:szCs w:val="31"/>
          <w:spacing w:val="6"/>
        </w:rPr>
        <w:t>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作，不得擅自调整建设内容。对立项建设的省级示范性专业点</w:t>
      </w:r>
      <w:r>
        <w:rPr>
          <w:rFonts w:ascii="FangSong" w:hAnsi="FangSong" w:eastAsia="FangSong" w:cs="FangSong"/>
          <w:sz w:val="31"/>
          <w:szCs w:val="31"/>
          <w:spacing w:val="6"/>
        </w:rPr>
        <w:t>将</w:t>
      </w:r>
    </w:p>
    <w:p>
      <w:pPr>
        <w:ind w:left="3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给予一定资金支持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663"/>
        <w:spacing w:before="162" w:line="477" w:lineRule="exact"/>
        <w:tabs>
          <w:tab w:val="left" w:leader="empty" w:pos="81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  <w:position w:val="5"/>
        </w:rPr>
        <w:tab/>
      </w:r>
      <w:r>
        <w:rPr>
          <w:rFonts w:ascii="STKaiti" w:hAnsi="STKaiti" w:eastAsia="STKaiti" w:cs="STKaiti"/>
          <w:sz w:val="31"/>
          <w:szCs w:val="31"/>
          <w:spacing w:val="6"/>
          <w:position w:val="5"/>
        </w:rPr>
        <w:t>(三)</w:t>
      </w:r>
      <w:r>
        <w:rPr>
          <w:rFonts w:ascii="STKaiti" w:hAnsi="STKaiti" w:eastAsia="STKaiti" w:cs="STKaiti"/>
          <w:sz w:val="31"/>
          <w:szCs w:val="31"/>
          <w:spacing w:val="6"/>
          <w:position w:val="5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6"/>
          <w:position w:val="5"/>
        </w:rPr>
        <w:t>绩效考核。</w:t>
      </w:r>
      <w:r>
        <w:rPr>
          <w:rFonts w:ascii="STKaiti" w:hAnsi="STKaiti" w:eastAsia="STKaiti" w:cs="STKaiti"/>
          <w:sz w:val="31"/>
          <w:szCs w:val="31"/>
          <w:spacing w:val="6"/>
          <w:position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  <w:position w:val="5"/>
        </w:rPr>
        <w:t>项目学校在编制建设实施方案时应制定</w:t>
      </w:r>
      <w:r>
        <w:rPr>
          <w:rFonts w:ascii="FangSong" w:hAnsi="FangSong" w:eastAsia="FangSong" w:cs="FangSong"/>
          <w:sz w:val="31"/>
          <w:szCs w:val="31"/>
          <w:position w:val="5"/>
        </w:rPr>
        <w:t>明</w:t>
      </w:r>
    </w:p>
    <w:p>
      <w:pPr>
        <w:sectPr>
          <w:footerReference w:type="default" r:id="rId8"/>
          <w:pgSz w:w="11906" w:h="16838"/>
          <w:pgMar w:top="1431" w:right="1260" w:bottom="1922" w:left="1551" w:header="0" w:footer="1638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ind w:left="11" w:right="99" w:firstLine="1"/>
        <w:spacing w:before="100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确</w:t>
      </w:r>
      <w:r>
        <w:rPr>
          <w:rFonts w:ascii="FangSong" w:hAnsi="FangSong" w:eastAsia="FangSong" w:cs="FangSong"/>
          <w:sz w:val="31"/>
          <w:szCs w:val="31"/>
          <w:spacing w:val="21"/>
        </w:rPr>
        <w:t>的</w:t>
      </w:r>
      <w:r>
        <w:rPr>
          <w:rFonts w:ascii="FangSong" w:hAnsi="FangSong" w:eastAsia="FangSong" w:cs="FangSong"/>
          <w:sz w:val="31"/>
          <w:szCs w:val="31"/>
          <w:spacing w:val="11"/>
        </w:rPr>
        <w:t>绩效目标。建设期间，各地、各学校要对绩效目标实现程度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和</w:t>
      </w:r>
      <w:r>
        <w:rPr>
          <w:rFonts w:ascii="FangSong" w:hAnsi="FangSong" w:eastAsia="FangSong" w:cs="FangSong"/>
          <w:sz w:val="31"/>
          <w:szCs w:val="31"/>
          <w:spacing w:val="19"/>
        </w:rPr>
        <w:t>预</w:t>
      </w:r>
      <w:r>
        <w:rPr>
          <w:rFonts w:ascii="FangSong" w:hAnsi="FangSong" w:eastAsia="FangSong" w:cs="FangSong"/>
          <w:sz w:val="31"/>
          <w:szCs w:val="31"/>
          <w:spacing w:val="11"/>
        </w:rPr>
        <w:t>算执行进度实行“双评价”，发现问题要及时纠正，确保绩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效目标如期保质保量实现。省教育厅将对项目建设和资金使用</w:t>
      </w:r>
      <w:r>
        <w:rPr>
          <w:rFonts w:ascii="FangSong" w:hAnsi="FangSong" w:eastAsia="FangSong" w:cs="FangSong"/>
          <w:sz w:val="31"/>
          <w:szCs w:val="31"/>
          <w:spacing w:val="6"/>
        </w:rPr>
        <w:t>成</w:t>
      </w:r>
    </w:p>
    <w:p>
      <w:pPr>
        <w:ind w:left="1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效</w:t>
      </w:r>
      <w:r>
        <w:rPr>
          <w:rFonts w:ascii="FangSong" w:hAnsi="FangSong" w:eastAsia="FangSong" w:cs="FangSong"/>
          <w:sz w:val="31"/>
          <w:szCs w:val="31"/>
          <w:spacing w:val="2"/>
        </w:rPr>
        <w:t>进行阶段性评价，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评价情况将作为项目验收的重要依据。</w:t>
      </w:r>
    </w:p>
    <w:p>
      <w:pPr>
        <w:ind w:left="14" w:right="17" w:firstLine="659"/>
        <w:spacing w:before="167" w:line="346" w:lineRule="auto"/>
        <w:tabs>
          <w:tab w:val="left" w:leader="empty" w:pos="82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12"/>
        </w:rPr>
        <w:t>(四</w:t>
      </w:r>
      <w:r>
        <w:rPr>
          <w:rFonts w:ascii="STKaiti" w:hAnsi="STKaiti" w:eastAsia="STKaiti" w:cs="STKaiti"/>
          <w:sz w:val="31"/>
          <w:szCs w:val="31"/>
          <w:spacing w:val="9"/>
        </w:rPr>
        <w:t>)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6"/>
        </w:rPr>
        <w:t>项目验收。</w:t>
      </w:r>
      <w:r>
        <w:rPr>
          <w:rFonts w:ascii="FangSong" w:hAnsi="FangSong" w:eastAsia="FangSong" w:cs="FangSong"/>
          <w:sz w:val="31"/>
          <w:szCs w:val="31"/>
          <w:spacing w:val="6"/>
        </w:rPr>
        <w:t>省级示范性专业点立项两年内须申请验收，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省</w:t>
      </w:r>
      <w:r>
        <w:rPr>
          <w:rFonts w:ascii="FangSong" w:hAnsi="FangSong" w:eastAsia="FangSong" w:cs="FangSong"/>
          <w:sz w:val="31"/>
          <w:szCs w:val="31"/>
          <w:spacing w:val="20"/>
        </w:rPr>
        <w:t>教</w:t>
      </w:r>
      <w:r>
        <w:rPr>
          <w:rFonts w:ascii="FangSong" w:hAnsi="FangSong" w:eastAsia="FangSong" w:cs="FangSong"/>
          <w:sz w:val="31"/>
          <w:szCs w:val="31"/>
          <w:spacing w:val="11"/>
        </w:rPr>
        <w:t>育厅将分年度开展验收工作，各建设学校根据建设进度自主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申</w:t>
      </w:r>
      <w:r>
        <w:rPr>
          <w:rFonts w:ascii="FangSong" w:hAnsi="FangSong" w:eastAsia="FangSong" w:cs="FangSong"/>
          <w:sz w:val="31"/>
          <w:szCs w:val="31"/>
          <w:spacing w:val="20"/>
        </w:rPr>
        <w:t>请</w:t>
      </w:r>
      <w:r>
        <w:rPr>
          <w:rFonts w:ascii="FangSong" w:hAnsi="FangSong" w:eastAsia="FangSong" w:cs="FangSong"/>
          <w:sz w:val="31"/>
          <w:szCs w:val="31"/>
          <w:spacing w:val="11"/>
        </w:rPr>
        <w:t>项目验收，考核合格的予以认定并公布名单。对绩效目标偏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离</w:t>
      </w:r>
      <w:r>
        <w:rPr>
          <w:rFonts w:ascii="FangSong" w:hAnsi="FangSong" w:eastAsia="FangSong" w:cs="FangSong"/>
          <w:sz w:val="31"/>
          <w:szCs w:val="31"/>
          <w:spacing w:val="20"/>
        </w:rPr>
        <w:t>较</w:t>
      </w:r>
      <w:r>
        <w:rPr>
          <w:rFonts w:ascii="FangSong" w:hAnsi="FangSong" w:eastAsia="FangSong" w:cs="FangSong"/>
          <w:sz w:val="31"/>
          <w:szCs w:val="31"/>
          <w:spacing w:val="11"/>
        </w:rPr>
        <w:t>大、管理混乱、违法违规及立项两年内未完成验收的示范性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专业点，将取消其建设资格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653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六</w:t>
      </w:r>
      <w:r>
        <w:rPr>
          <w:rFonts w:ascii="SimHei" w:hAnsi="SimHei" w:eastAsia="SimHei" w:cs="SimHei"/>
          <w:sz w:val="31"/>
          <w:szCs w:val="31"/>
          <w:spacing w:val="6"/>
        </w:rPr>
        <w:t>、工作要求</w:t>
      </w:r>
    </w:p>
    <w:p>
      <w:pPr>
        <w:ind w:left="10" w:firstLine="663"/>
        <w:spacing w:before="167" w:line="346" w:lineRule="auto"/>
        <w:tabs>
          <w:tab w:val="left" w:leader="empty" w:pos="82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16"/>
        </w:rPr>
        <w:t>(一</w:t>
      </w:r>
      <w:r>
        <w:rPr>
          <w:rFonts w:ascii="STKaiti" w:hAnsi="STKaiti" w:eastAsia="STKaiti" w:cs="STKaiti"/>
          <w:sz w:val="31"/>
          <w:szCs w:val="31"/>
          <w:spacing w:val="9"/>
        </w:rPr>
        <w:t>)</w:t>
      </w:r>
      <w:r>
        <w:rPr>
          <w:rFonts w:ascii="STKaiti" w:hAnsi="STKaiti" w:eastAsia="STKaiti" w:cs="STKaiti"/>
          <w:sz w:val="31"/>
          <w:szCs w:val="31"/>
          <w:spacing w:val="8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8"/>
        </w:rPr>
        <w:t>提高政治站位。</w:t>
      </w:r>
      <w:r>
        <w:rPr>
          <w:rFonts w:ascii="STKaiti" w:hAnsi="STKaiti" w:eastAsia="STKaiti" w:cs="STKait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省级职业教育示范性专业点建设工作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是全省职业教育大会明确的重点任务，是职业院校专业结构优</w:t>
      </w:r>
      <w:r>
        <w:rPr>
          <w:rFonts w:ascii="FangSong" w:hAnsi="FangSong" w:eastAsia="FangSong" w:cs="FangSong"/>
          <w:sz w:val="31"/>
          <w:szCs w:val="31"/>
          <w:spacing w:val="7"/>
        </w:rPr>
        <w:t>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的重要内容。各地、各学校要充分认识示范性专业点建设的重</w:t>
      </w:r>
      <w:r>
        <w:rPr>
          <w:rFonts w:ascii="FangSong" w:hAnsi="FangSong" w:eastAsia="FangSong" w:cs="FangSong"/>
          <w:sz w:val="31"/>
          <w:szCs w:val="31"/>
          <w:spacing w:val="7"/>
        </w:rPr>
        <w:t>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意</w:t>
      </w:r>
      <w:r>
        <w:rPr>
          <w:rFonts w:ascii="FangSong" w:hAnsi="FangSong" w:eastAsia="FangSong" w:cs="FangSong"/>
          <w:sz w:val="31"/>
          <w:szCs w:val="31"/>
          <w:spacing w:val="5"/>
        </w:rPr>
        <w:t>义</w:t>
      </w:r>
      <w:r>
        <w:rPr>
          <w:rFonts w:ascii="FangSong" w:hAnsi="FangSong" w:eastAsia="FangSong" w:cs="FangSong"/>
          <w:sz w:val="31"/>
          <w:szCs w:val="31"/>
          <w:spacing w:val="4"/>
        </w:rPr>
        <w:t>，提高站位、抢抓机遇，着力打造一批国内一流、特色鲜明、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服务能力强的职业教育示范专业点。各地要以示范性专业点建</w:t>
      </w:r>
      <w:r>
        <w:rPr>
          <w:rFonts w:ascii="FangSong" w:hAnsi="FangSong" w:eastAsia="FangSong" w:cs="FangSong"/>
          <w:sz w:val="31"/>
          <w:szCs w:val="31"/>
          <w:spacing w:val="7"/>
        </w:rPr>
        <w:t>设</w:t>
      </w:r>
    </w:p>
    <w:p>
      <w:pPr>
        <w:ind w:left="23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为</w:t>
      </w:r>
      <w:r>
        <w:rPr>
          <w:rFonts w:ascii="FangSong" w:hAnsi="FangSong" w:eastAsia="FangSong" w:cs="FangSong"/>
          <w:sz w:val="31"/>
          <w:szCs w:val="31"/>
          <w:spacing w:val="10"/>
        </w:rPr>
        <w:t>依</w:t>
      </w:r>
      <w:r>
        <w:rPr>
          <w:rFonts w:ascii="FangSong" w:hAnsi="FangSong" w:eastAsia="FangSong" w:cs="FangSong"/>
          <w:sz w:val="31"/>
          <w:szCs w:val="31"/>
          <w:spacing w:val="7"/>
        </w:rPr>
        <w:t>托，谋划打造市域产教联合体。</w:t>
      </w:r>
    </w:p>
    <w:p>
      <w:pPr>
        <w:ind w:left="5" w:right="2" w:firstLine="668"/>
        <w:spacing w:before="169" w:line="348" w:lineRule="auto"/>
        <w:tabs>
          <w:tab w:val="left" w:leader="empty" w:pos="82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16"/>
        </w:rPr>
        <w:t>(二</w:t>
      </w:r>
      <w:r>
        <w:rPr>
          <w:rFonts w:ascii="STKaiti" w:hAnsi="STKaiti" w:eastAsia="STKaiti" w:cs="STKaiti"/>
          <w:sz w:val="31"/>
          <w:szCs w:val="31"/>
          <w:spacing w:val="9"/>
        </w:rPr>
        <w:t>)</w:t>
      </w:r>
      <w:r>
        <w:rPr>
          <w:rFonts w:ascii="STKaiti" w:hAnsi="STKaiti" w:eastAsia="STKaiti" w:cs="STKaiti"/>
          <w:sz w:val="31"/>
          <w:szCs w:val="31"/>
          <w:spacing w:val="8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8"/>
        </w:rPr>
        <w:t>加强组织领导。</w:t>
      </w:r>
      <w:r>
        <w:rPr>
          <w:rFonts w:ascii="STKaiti" w:hAnsi="STKaiti" w:eastAsia="STKaiti" w:cs="STKait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各地、各学校要加强政策支持和经费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保障，动员行业、企业等各方力量支持项目建设，将示范性专业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点</w:t>
      </w:r>
      <w:r>
        <w:rPr>
          <w:rFonts w:ascii="FangSong" w:hAnsi="FangSong" w:eastAsia="FangSong" w:cs="FangSong"/>
          <w:sz w:val="31"/>
          <w:szCs w:val="31"/>
          <w:spacing w:val="7"/>
        </w:rPr>
        <w:t>建</w:t>
      </w:r>
      <w:r>
        <w:rPr>
          <w:rFonts w:ascii="FangSong" w:hAnsi="FangSong" w:eastAsia="FangSong" w:cs="FangSong"/>
          <w:sz w:val="31"/>
          <w:szCs w:val="31"/>
          <w:spacing w:val="4"/>
        </w:rPr>
        <w:t>设纳入学校事业发展规划，建立专业所在院系与教学、招生、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就业、发展规划等部门协同推进机制，加强对项目建设的工作指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导</w:t>
      </w:r>
      <w:r>
        <w:rPr>
          <w:rFonts w:ascii="FangSong" w:hAnsi="FangSong" w:eastAsia="FangSong" w:cs="FangSong"/>
          <w:sz w:val="31"/>
          <w:szCs w:val="31"/>
          <w:spacing w:val="10"/>
        </w:rPr>
        <w:t>、管理和监督，确保建设任务如期完成。省教育厅将充分发挥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20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个</w:t>
      </w:r>
      <w:r>
        <w:rPr>
          <w:rFonts w:ascii="FangSong" w:hAnsi="FangSong" w:eastAsia="FangSong" w:cs="FangSong"/>
          <w:sz w:val="31"/>
          <w:szCs w:val="31"/>
          <w:spacing w:val="8"/>
        </w:rPr>
        <w:t>省</w:t>
      </w:r>
      <w:r>
        <w:rPr>
          <w:rFonts w:ascii="FangSong" w:hAnsi="FangSong" w:eastAsia="FangSong" w:cs="FangSong"/>
          <w:sz w:val="31"/>
          <w:szCs w:val="31"/>
          <w:spacing w:val="5"/>
        </w:rPr>
        <w:t>级骨干职教集团和职业教育教学指导委员会作用，全方位</w:t>
      </w:r>
    </w:p>
    <w:p>
      <w:pPr>
        <w:sectPr>
          <w:footerReference w:type="default" r:id="rId9"/>
          <w:pgSz w:w="11906" w:h="16838"/>
          <w:pgMar w:top="1431" w:right="1243" w:bottom="1925" w:left="1540" w:header="0" w:footer="1638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before="10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开</w:t>
      </w:r>
      <w:r>
        <w:rPr>
          <w:rFonts w:ascii="FangSong" w:hAnsi="FangSong" w:eastAsia="FangSong" w:cs="FangSong"/>
          <w:sz w:val="31"/>
          <w:szCs w:val="31"/>
          <w:spacing w:val="8"/>
        </w:rPr>
        <w:t>展</w:t>
      </w:r>
      <w:r>
        <w:rPr>
          <w:rFonts w:ascii="FangSong" w:hAnsi="FangSong" w:eastAsia="FangSong" w:cs="FangSong"/>
          <w:sz w:val="31"/>
          <w:szCs w:val="31"/>
          <w:spacing w:val="7"/>
        </w:rPr>
        <w:t>示范性专业绩效评价和项目验收工作。</w:t>
      </w:r>
    </w:p>
    <w:p>
      <w:pPr>
        <w:ind w:left="2" w:firstLine="659"/>
        <w:spacing w:before="171" w:line="348" w:lineRule="auto"/>
        <w:tabs>
          <w:tab w:val="left" w:leader="empty" w:pos="816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6"/>
        </w:rPr>
        <w:t>(三)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6"/>
        </w:rPr>
        <w:t>深化产教融合。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各地、各学校要将示范性专业点建</w:t>
      </w:r>
      <w:r>
        <w:rPr>
          <w:rFonts w:ascii="FangSong" w:hAnsi="FangSong" w:eastAsia="FangSong" w:cs="FangSong"/>
          <w:sz w:val="31"/>
          <w:szCs w:val="31"/>
        </w:rPr>
        <w:t>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与</w:t>
      </w:r>
      <w:r>
        <w:rPr>
          <w:rFonts w:ascii="FangSong" w:hAnsi="FangSong" w:eastAsia="FangSong" w:cs="FangSong"/>
          <w:sz w:val="31"/>
          <w:szCs w:val="31"/>
          <w:spacing w:val="16"/>
        </w:rPr>
        <w:t>学</w:t>
      </w:r>
      <w:r>
        <w:rPr>
          <w:rFonts w:ascii="FangSong" w:hAnsi="FangSong" w:eastAsia="FangSong" w:cs="FangSong"/>
          <w:sz w:val="31"/>
          <w:szCs w:val="31"/>
          <w:spacing w:val="11"/>
        </w:rPr>
        <w:t>校办学定位、主要服务面向相结合，主动摆到全省相关行业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产业和区</w:t>
      </w:r>
      <w:r>
        <w:rPr>
          <w:rFonts w:ascii="FangSong" w:hAnsi="FangSong" w:eastAsia="FangSong" w:cs="FangSong"/>
          <w:sz w:val="31"/>
          <w:szCs w:val="31"/>
          <w:spacing w:val="8"/>
        </w:rPr>
        <w:t>域</w:t>
      </w:r>
      <w:r>
        <w:rPr>
          <w:rFonts w:ascii="FangSong" w:hAnsi="FangSong" w:eastAsia="FangSong" w:cs="FangSong"/>
          <w:sz w:val="31"/>
          <w:szCs w:val="31"/>
          <w:spacing w:val="5"/>
        </w:rPr>
        <w:t>经济社会高质量发展的大局中深入谋划，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出台扎实有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效</w:t>
      </w:r>
      <w:r>
        <w:rPr>
          <w:rFonts w:ascii="FangSong" w:hAnsi="FangSong" w:eastAsia="FangSong" w:cs="FangSong"/>
          <w:sz w:val="31"/>
          <w:szCs w:val="31"/>
          <w:spacing w:val="20"/>
        </w:rPr>
        <w:t>的</w:t>
      </w:r>
      <w:r>
        <w:rPr>
          <w:rFonts w:ascii="FangSong" w:hAnsi="FangSong" w:eastAsia="FangSong" w:cs="FangSong"/>
          <w:sz w:val="31"/>
          <w:szCs w:val="31"/>
          <w:spacing w:val="11"/>
        </w:rPr>
        <w:t>工作举措，加强主动服务行业、产业发展，全面增强职业教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育</w:t>
      </w:r>
      <w:r>
        <w:rPr>
          <w:rFonts w:ascii="FangSong" w:hAnsi="FangSong" w:eastAsia="FangSong" w:cs="FangSong"/>
          <w:sz w:val="31"/>
          <w:szCs w:val="31"/>
          <w:spacing w:val="20"/>
        </w:rPr>
        <w:t>专</w:t>
      </w:r>
      <w:r>
        <w:rPr>
          <w:rFonts w:ascii="FangSong" w:hAnsi="FangSong" w:eastAsia="FangSong" w:cs="FangSong"/>
          <w:sz w:val="31"/>
          <w:szCs w:val="31"/>
          <w:spacing w:val="11"/>
        </w:rPr>
        <w:t>业结构与产业结构匹配度。省教育厅将以省级示范性专业点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为</w:t>
      </w:r>
      <w:r>
        <w:rPr>
          <w:rFonts w:ascii="FangSong" w:hAnsi="FangSong" w:eastAsia="FangSong" w:cs="FangSong"/>
          <w:sz w:val="31"/>
          <w:szCs w:val="31"/>
          <w:spacing w:val="8"/>
        </w:rPr>
        <w:t>基础，培育一批具有区域行业产业特色的职业教育品牌。</w:t>
      </w:r>
    </w:p>
    <w:p>
      <w:pPr>
        <w:ind w:firstLine="4834"/>
        <w:spacing w:before="108" w:line="2381" w:lineRule="exact"/>
        <w:textAlignment w:val="center"/>
        <w:rPr/>
      </w:pPr>
      <w:r>
        <w:pict>
          <v:group id="_x0000_s1" style="mso-position-vertical-relative:line;mso-position-horizontal-relative:char;width:123.35pt;height:119.1pt;" filled="false" stroked="false" coordsize="2466,2381" coordorigin="0,0">
            <v:shape id="_x0000_s2" style="position:absolute;left:34;top:0;width:2381;height:2381;" filled="false" stroked="false" type="#_x0000_t75">
              <v:imagedata r:id="rId11"/>
            </v:shape>
            <v:shape id="_x0000_s3" style="position:absolute;left:-20;top:-20;width:2506;height:247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100" w:line="228" w:lineRule="auto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30"/>
                      </w:rPr>
                      <w:t>2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>023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>年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>1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>月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>19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>日</w:t>
                    </w:r>
                  </w:p>
                </w:txbxContent>
              </v:textbox>
            </v:shape>
          </v:group>
        </w:pict>
      </w:r>
    </w:p>
    <w:p>
      <w:pPr>
        <w:sectPr>
          <w:footerReference w:type="default" r:id="rId10"/>
          <w:pgSz w:w="11906" w:h="16838"/>
          <w:pgMar w:top="1431" w:right="1342" w:bottom="1925" w:left="1552" w:header="0" w:footer="1638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972167</wp:posOffset>
            </wp:positionH>
            <wp:positionV relativeFrom="page">
              <wp:posOffset>8757632</wp:posOffset>
            </wp:positionV>
            <wp:extent cx="5713003" cy="952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3003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972167</wp:posOffset>
            </wp:positionH>
            <wp:positionV relativeFrom="page">
              <wp:posOffset>9132278</wp:posOffset>
            </wp:positionV>
            <wp:extent cx="5713003" cy="9525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3003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4856908</wp:posOffset>
            </wp:positionH>
            <wp:positionV relativeFrom="page">
              <wp:posOffset>9174505</wp:posOffset>
            </wp:positionV>
            <wp:extent cx="1790672" cy="60958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0672" cy="609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658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河南省教育厅办公室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依申请公开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3"/>
        </w:rPr>
        <w:t>2023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月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19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日印发</w:t>
      </w:r>
    </w:p>
    <w:p>
      <w:pPr>
        <w:rPr/>
      </w:pPr>
      <w:r/>
    </w:p>
    <w:p>
      <w:pPr>
        <w:spacing w:line="212" w:lineRule="exact"/>
        <w:rPr/>
      </w:pPr>
      <w:r/>
    </w:p>
    <w:tbl>
      <w:tblPr>
        <w:tblStyle w:val="2"/>
        <w:tblW w:w="2694" w:type="dxa"/>
        <w:tblInd w:w="10" w:type="dxa"/>
        <w:tblLayout w:type="fixed"/>
        <w:tblBorders>
          <w:left w:val="single" w:color="FFFFFF" w:sz="8" w:space="0"/>
          <w:bottom w:val="single" w:color="FFFFFF" w:sz="8" w:space="0"/>
          <w:right w:val="single" w:color="FFFFFF" w:sz="8" w:space="0"/>
          <w:top w:val="single" w:color="FFFFFF" w:sz="8" w:space="0"/>
        </w:tblBorders>
      </w:tblPr>
      <w:tblGrid>
        <w:gridCol w:w="2694"/>
      </w:tblGrid>
      <w:tr>
        <w:trPr>
          <w:trHeight w:val="1148" w:hRule="atLeast"/>
        </w:trPr>
        <w:tc>
          <w:tcPr>
            <w:tcW w:w="2694" w:type="dxa"/>
            <w:vAlign w:val="top"/>
          </w:tcPr>
          <w:p>
            <w:pPr>
              <w:ind w:left="391"/>
              <w:spacing w:before="125" w:line="183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pict>
                <v:rect id="_x0000_s4" style="position:absolute;margin-left:-0.664944pt;margin-top:-0.572583pt;mso-position-vertical-relative:text;mso-position-horizontal-relative:text;width:135pt;height:58.7pt;z-index:251670528;" fillcolor="#FFFFFF" filled="true" stroked="false"/>
              </w:pic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>—</w: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>10</w: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>—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2"/>
      <w:pgSz w:w="11906" w:h="16838"/>
      <w:pgMar w:top="1431" w:right="1377" w:bottom="400" w:left="112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7"/>
      <w:spacing w:line="183" w:lineRule="auto"/>
      <w:jc w:val="righ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6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1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"/>
      <w:spacing w:before="1" w:line="182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5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2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4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17"/>
      <w:spacing w:before="1" w:line="182" w:lineRule="auto"/>
      <w:jc w:val="righ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6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3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"/>
      <w:spacing w:before="1" w:line="182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5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4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4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25"/>
      <w:spacing w:line="181" w:lineRule="auto"/>
      <w:jc w:val="righ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6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5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5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6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4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9"/>
      <w:spacing w:line="181" w:lineRule="auto"/>
      <w:jc w:val="righ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6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7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5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8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4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7"/>
      <w:spacing w:before="1" w:line="182" w:lineRule="auto"/>
      <w:jc w:val="righ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6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9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image" Target="media/image5.jpe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footer" Target="footer10.xml"/><Relationship Id="rId11" Type="http://schemas.openxmlformats.org/officeDocument/2006/relationships/image" Target="media/image2.png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教招办〔2018〕1107号</dc:title>
  <dc:creator>文印员</dc:creator>
  <dcterms:created xsi:type="dcterms:W3CDTF">2023-03-07T09:23:23Z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2023-04-10T09:31:45</vt:filetime>
  </op:property>
</op:Properties>
</file>